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2147"/>
          <w:sz w:val="56"/>
        </w:rPr>
        <w:t>MANU FORTI INTELLIGENCE</w:t>
        <w:br/>
        <w:t>MEDIA MONITORING REPORT</w:t>
      </w:r>
    </w:p>
    <w:p/>
    <w:p>
      <w:pPr>
        <w:jc w:val="center"/>
      </w:pPr>
      <w:r>
        <w:rPr>
          <w:b/>
          <w:color w:val="06B6D4"/>
          <w:sz w:val="28"/>
        </w:rPr>
        <w:t>ENTERPRISE TIER | VERSION 4.0</w:t>
      </w:r>
    </w:p>
    <w:p/>
    <w:p>
      <w:pPr>
        <w:jc w:val="center"/>
      </w:pPr>
      <w:r>
        <w:rPr>
          <w:b/>
          <w:color w:val="002147"/>
          <w:sz w:val="52"/>
        </w:rPr>
        <w:t>STATKRAFT AS</w:t>
      </w:r>
    </w:p>
    <w:p>
      <w:pPr>
        <w:jc w:val="center"/>
      </w:pPr>
      <w:r>
        <w:rPr>
          <w:sz w:val="22"/>
        </w:rPr>
        <w:t>Report Period: April 1-8, 2026</w:t>
        <w:br/>
        <w:t>Builds on v3 (March 25-April 1)</w:t>
      </w:r>
    </w:p>
    <w:p>
      <w:r>
        <w:br w:type="page"/>
      </w:r>
    </w:p>
    <w:p>
      <w:pPr>
        <w:pStyle w:val="Heading1"/>
      </w:pPr>
      <w:r>
        <w:t>VERSION CONTINUITY</w:t>
      </w:r>
    </w:p>
    <w:p>
      <w:r>
        <w:t>v4 BUILDS ON v3: All previous findings preserved and extended</w:t>
      </w:r>
    </w:p>
    <w:p>
      <w:pPr>
        <w:pStyle w:val="Heading2"/>
      </w:pPr>
      <w:r>
        <w:t>Carried Forward from v3</w:t>
      </w:r>
    </w:p>
    <w:p>
      <w:pPr>
        <w:pStyle w:val="ListBullet"/>
      </w:pPr>
      <w:r>
        <w:t>• Fosen Vind (Norway) - Supreme Court violation</w:t>
      </w:r>
    </w:p>
    <w:p>
      <w:pPr>
        <w:pStyle w:val="ListBullet"/>
      </w:pPr>
      <w:r>
        <w:t>• Los Lagos (Chile) - Mapuche dialogue</w:t>
      </w:r>
    </w:p>
    <w:p>
      <w:pPr>
        <w:pStyle w:val="ListBullet"/>
      </w:pPr>
      <w:r>
        <w:t>• Santa Eugênia (Brazil) - UMBU opposition</w:t>
      </w:r>
    </w:p>
    <w:p>
      <w:pPr>
        <w:pStyle w:val="ListBullet"/>
      </w:pPr>
      <w:r>
        <w:t>• Devoll (Albania) - Environmental monitoring</w:t>
      </w:r>
    </w:p>
    <w:p>
      <w:pPr>
        <w:pStyle w:val="ListBullet"/>
      </w:pPr>
      <w:r>
        <w:t>• Systemic indigenous rights pattern</w:t>
      </w:r>
    </w:p>
    <w:p>
      <w:pPr>
        <w:pStyle w:val="Heading2"/>
      </w:pPr>
      <w:r>
        <w:t>NEW in v4</w:t>
      </w:r>
    </w:p>
    <w:p>
      <w:pPr>
        <w:pStyle w:val="ListBullet"/>
      </w:pPr>
      <w:r>
        <w:t>• Norway PM compliance announcement</w:t>
      </w:r>
    </w:p>
    <w:p>
      <w:pPr>
        <w:pStyle w:val="ListBullet"/>
      </w:pPr>
      <w:r>
        <w:t>• UN Special Rapporteur inquiry</w:t>
      </w:r>
    </w:p>
    <w:p>
      <w:pPr>
        <w:pStyle w:val="ListBullet"/>
      </w:pPr>
      <w:r>
        <w:t>• Brazil MPF preliminary findings</w:t>
      </w:r>
    </w:p>
    <w:p>
      <w:pPr>
        <w:pStyle w:val="ListBullet"/>
      </w:pPr>
      <w:r>
        <w:t>• Moody's ESG rating under review</w:t>
      </w:r>
    </w:p>
    <w:p>
      <w:r>
        <w:br w:type="page"/>
      </w:r>
    </w:p>
    <w:p>
      <w:pPr>
        <w:pStyle w:val="Heading1"/>
      </w:pPr>
      <w:r>
        <w:t>1. EXECUTIVE DASHBOARD</w:t>
      </w:r>
    </w:p>
    <w:p>
      <w:r>
        <w:rPr>
          <w:b/>
          <w:sz w:val="28"/>
        </w:rPr>
        <w:t>RISK SCORE: 71/100 (MODERATE-HIGH) ▼ from 72/100 in v3</w:t>
      </w:r>
    </w:p>
    <w:p/>
    <w:p>
      <w:pPr>
        <w:pStyle w:val="Heading2"/>
      </w:pPr>
      <w:r>
        <w:t>New Developments</w:t>
      </w:r>
    </w:p>
    <w:p>
      <w:pPr>
        <w:pStyle w:val="ListBullet"/>
      </w:pPr>
      <w:r>
        <w:t>[IMPROVING] Norway PM announced accelerated Fosen compliance</w:t>
      </w:r>
    </w:p>
    <w:p>
      <w:pPr>
        <w:pStyle w:val="ListBullet"/>
      </w:pPr>
      <w:r>
        <w:t>[NEW] UN Special Rapporteur inquiry opened</w:t>
      </w:r>
    </w:p>
    <w:p>
      <w:pPr>
        <w:pStyle w:val="ListBullet"/>
      </w:pPr>
      <w:r>
        <w:t>[ESCALATING] Brazil MPF finds INEMA 'systematically inadequate'</w:t>
      </w:r>
    </w:p>
    <w:p>
      <w:pPr>
        <w:pStyle w:val="ListBullet"/>
      </w:pPr>
      <w:r>
        <w:t>[NEW] Moody's ESG rating under review</w:t>
      </w:r>
    </w:p>
    <w:p>
      <w:r>
        <w:br w:type="page"/>
      </w:r>
    </w:p>
    <w:p>
      <w:pPr>
        <w:pStyle w:val="Heading1"/>
      </w:pPr>
      <w:r>
        <w:t>2. CRITICAL FINDINGS</w:t>
      </w:r>
    </w:p>
    <w:p>
      <w:pPr>
        <w:pStyle w:val="Heading2"/>
      </w:pPr>
      <w:r>
        <w:t>Fosen Vind (Norway) - IMPROVING</w:t>
      </w:r>
    </w:p>
    <w:p>
      <w:r>
        <w:t>v3: Operating illegally 600+ days</w:t>
      </w:r>
    </w:p>
    <w:p>
      <w:r>
        <w:t>v4: PM Støre announced Q3 2026 compliance timeline; Sami Parliament cautiously optimistic</w:t>
      </w:r>
    </w:p>
    <w:p>
      <w:pPr>
        <w:pStyle w:val="Heading2"/>
      </w:pPr>
      <w:r>
        <w:t>Santa Eugênia (Brazil) - ESCALATING</w:t>
      </w:r>
    </w:p>
    <w:p>
      <w:r>
        <w:t>v3: MPF review initiated</w:t>
      </w:r>
    </w:p>
    <w:p>
      <w:r>
        <w:t>v4: MPF preliminary findings suggest federal oversight for all Statkraft Brazil projects</w:t>
      </w:r>
    </w:p>
    <w:p>
      <w:pPr>
        <w:pStyle w:val="Heading2"/>
      </w:pPr>
      <w:r>
        <w:t>NEW: UN Inquiry</w:t>
      </w:r>
    </w:p>
    <w:p>
      <w:r>
        <w:t>UN Special Rapporteur on Indigenous Rights opened formal inquiry (April 3, 2026)</w:t>
      </w:r>
    </w:p>
    <w:p>
      <w:r>
        <w:t>Scope: Pattern across Norway, Chile, Brazil | Report: Q3 2026</w:t>
      </w:r>
    </w:p>
    <w:p>
      <w:r>
        <w:br w:type="page"/>
      </w:r>
    </w:p>
    <w:p>
      <w:pPr>
        <w:pStyle w:val="Heading1"/>
      </w:pPr>
      <w:r>
        <w:t>3. TREND ANALYSIS</w:t>
      </w:r>
    </w:p>
    <w:p>
      <w:pPr>
        <w:pStyle w:val="Heading2"/>
      </w:pPr>
      <w:r>
        <w:t>4-Week Trend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v4</w:t>
            </w:r>
          </w:p>
        </w:tc>
      </w:tr>
      <w:tr>
        <w:tc>
          <w:tcPr>
            <w:tcW w:type="dxa" w:w="1728"/>
          </w:tcPr>
          <w:p>
            <w:r>
              <w:t>Risk Score</w:t>
            </w:r>
          </w:p>
        </w:tc>
        <w:tc>
          <w:tcPr>
            <w:tcW w:type="dxa" w:w="1728"/>
          </w:tcPr>
          <w:p>
            <w:r>
              <w:t>52/100</w:t>
            </w:r>
          </w:p>
        </w:tc>
        <w:tc>
          <w:tcPr>
            <w:tcW w:type="dxa" w:w="1728"/>
          </w:tcPr>
          <w:p>
            <w:r>
              <w:t>68/100</w:t>
            </w:r>
          </w:p>
        </w:tc>
        <w:tc>
          <w:tcPr>
            <w:tcW w:type="dxa" w:w="1728"/>
          </w:tcPr>
          <w:p>
            <w:r>
              <w:t>72/100</w:t>
            </w:r>
          </w:p>
        </w:tc>
        <w:tc>
          <w:tcPr>
            <w:tcW w:type="dxa" w:w="1728"/>
          </w:tcPr>
          <w:p>
            <w:r>
              <w:t>71/100</w:t>
            </w:r>
          </w:p>
        </w:tc>
      </w:tr>
      <w:tr>
        <w:tc>
          <w:tcPr>
            <w:tcW w:type="dxa" w:w="1728"/>
          </w:tcPr>
          <w:p>
            <w:r>
              <w:t>Projects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Mentions</w:t>
            </w:r>
          </w:p>
        </w:tc>
        <w:tc>
          <w:tcPr>
            <w:tcW w:type="dxa" w:w="1728"/>
          </w:tcPr>
          <w:p>
            <w:r>
              <w:t>127</w:t>
            </w:r>
          </w:p>
        </w:tc>
        <w:tc>
          <w:tcPr>
            <w:tcW w:type="dxa" w:w="1728"/>
          </w:tcPr>
          <w:p>
            <w:r>
              <w:t>203</w:t>
            </w:r>
          </w:p>
        </w:tc>
        <w:tc>
          <w:tcPr>
            <w:tcW w:type="dxa" w:w="1728"/>
          </w:tcPr>
          <w:p>
            <w:r>
              <w:t>287</w:t>
            </w:r>
          </w:p>
        </w:tc>
        <w:tc>
          <w:tcPr>
            <w:tcW w:type="dxa" w:w="1728"/>
          </w:tcPr>
          <w:p>
            <w:r>
              <w:t>342</w:t>
            </w:r>
          </w:p>
        </w:tc>
      </w:tr>
      <w:tr>
        <w:tc>
          <w:tcPr>
            <w:tcW w:type="dxa" w:w="1728"/>
          </w:tcPr>
          <w:p>
            <w:r>
              <w:t>Geography</w:t>
            </w:r>
          </w:p>
        </w:tc>
        <w:tc>
          <w:tcPr>
            <w:tcW w:type="dxa" w:w="1728"/>
          </w:tcPr>
          <w:p>
            <w:r>
              <w:t>Brazil</w:t>
            </w:r>
          </w:p>
        </w:tc>
        <w:tc>
          <w:tcPr>
            <w:tcW w:type="dxa" w:w="1728"/>
          </w:tcPr>
          <w:p>
            <w:r>
              <w:t>Brazil</w:t>
            </w:r>
          </w:p>
        </w:tc>
        <w:tc>
          <w:tcPr>
            <w:tcW w:type="dxa" w:w="1728"/>
          </w:tcPr>
          <w:p>
            <w:r>
              <w:t>4 countries</w:t>
            </w:r>
          </w:p>
        </w:tc>
        <w:tc>
          <w:tcPr>
            <w:tcW w:type="dxa" w:w="1728"/>
          </w:tcPr>
          <w:p>
            <w:r>
              <w:t>4+UN</w:t>
            </w:r>
          </w:p>
        </w:tc>
      </w:tr>
      <w:tr>
        <w:tc>
          <w:tcPr>
            <w:tcW w:type="dxa" w:w="1728"/>
          </w:tcPr>
          <w:p>
            <w:r>
              <w:t>Legal Cases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</w:tbl>
    <w:p>
      <w:r>
        <w:br w:type="page"/>
      </w:r>
    </w:p>
    <w:p>
      <w:pPr>
        <w:pStyle w:val="Heading1"/>
      </w:pPr>
      <w:r>
        <w:t>4. TRADITIONAL MEDIA</w:t>
      </w:r>
    </w:p>
    <w:p>
      <w:pPr>
        <w:pStyle w:val="Heading2"/>
      </w:pPr>
      <w:r>
        <w:t>New Coverage Since v3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Headline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2160"/>
          </w:tcPr>
          <w:p>
            <w:r>
              <w:t>Apr 5</w:t>
            </w:r>
          </w:p>
        </w:tc>
        <w:tc>
          <w:tcPr>
            <w:tcW w:type="dxa" w:w="2160"/>
          </w:tcPr>
          <w:p>
            <w:r>
              <w:t>NRK</w:t>
            </w:r>
          </w:p>
        </w:tc>
        <w:tc>
          <w:tcPr>
            <w:tcW w:type="dxa" w:w="2160"/>
          </w:tcPr>
          <w:p>
            <w:r>
              <w:t>Støre: Fosen løsning innen Q3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Apr 4</w:t>
            </w:r>
          </w:p>
        </w:tc>
        <w:tc>
          <w:tcPr>
            <w:tcW w:type="dxa" w:w="2160"/>
          </w:tcPr>
          <w:p>
            <w:r>
              <w:t>Folha</w:t>
            </w:r>
          </w:p>
        </w:tc>
        <w:tc>
          <w:tcPr>
            <w:tcW w:type="dxa" w:w="2160"/>
          </w:tcPr>
          <w:p>
            <w:r>
              <w:t>MPF: Licenciamento systematically inadequate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Apr 3</w:t>
            </w:r>
          </w:p>
        </w:tc>
        <w:tc>
          <w:tcPr>
            <w:tcW w:type="dxa" w:w="2160"/>
          </w:tcPr>
          <w:p>
            <w:r>
              <w:t>Reuters</w:t>
            </w:r>
          </w:p>
        </w:tc>
        <w:tc>
          <w:tcPr>
            <w:tcW w:type="dxa" w:w="2160"/>
          </w:tcPr>
          <w:p>
            <w:r>
              <w:t>UN opens Statkraft indigenous inquiry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Apr 2</w:t>
            </w:r>
          </w:p>
        </w:tc>
        <w:tc>
          <w:tcPr>
            <w:tcW w:type="dxa" w:w="2160"/>
          </w:tcPr>
          <w:p>
            <w:r>
              <w:t>Aftenposten</w:t>
            </w:r>
          </w:p>
        </w:tc>
        <w:tc>
          <w:tcPr>
            <w:tcW w:type="dxa" w:w="2160"/>
          </w:tcPr>
          <w:p>
            <w:r>
              <w:t>Moody's setter Statkraft ESG under review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Apr 2</w:t>
            </w:r>
          </w:p>
        </w:tc>
        <w:tc>
          <w:tcPr>
            <w:tcW w:type="dxa" w:w="2160"/>
          </w:tcPr>
          <w:p>
            <w:r>
              <w:t>La Tercera</w:t>
            </w:r>
          </w:p>
        </w:tc>
        <w:tc>
          <w:tcPr>
            <w:tcW w:type="dxa" w:w="2160"/>
          </w:tcPr>
          <w:p>
            <w:r>
              <w:t>Los Lagos: monitoreo ambiental cumple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>
      <w:r>
        <w:br w:type="page"/>
      </w:r>
    </w:p>
    <w:p>
      <w:pPr>
        <w:pStyle w:val="Heading1"/>
      </w:pPr>
      <w:r>
        <w:t>5. SOCIAL MEDIA</w:t>
      </w:r>
    </w:p>
    <w:p>
      <w:pPr>
        <w:pStyle w:val="Heading2"/>
      </w:pPr>
      <w:r>
        <w:t>Platform Activity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Fosen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Brazil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Chile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Engagement</w:t>
            </w:r>
          </w:p>
        </w:tc>
      </w:tr>
      <w:tr>
        <w:tc>
          <w:tcPr>
            <w:tcW w:type="dxa" w:w="1728"/>
          </w:tcPr>
          <w:p>
            <w:r>
              <w:t>X/Twitter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45.2K</w:t>
            </w:r>
          </w:p>
        </w:tc>
      </w:tr>
      <w:tr>
        <w:tc>
          <w:tcPr>
            <w:tcW w:type="dxa" w:w="1728"/>
          </w:tcPr>
          <w:p>
            <w:r>
              <w:t>LinkedIn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11.3K</w:t>
            </w:r>
          </w:p>
        </w:tc>
      </w:tr>
      <w:tr>
        <w:tc>
          <w:tcPr>
            <w:tcW w:type="dxa" w:w="1728"/>
          </w:tcPr>
          <w:p>
            <w:r>
              <w:t>Facebook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14.1K</w:t>
            </w:r>
          </w:p>
        </w:tc>
      </w:tr>
      <w:tr>
        <w:tc>
          <w:tcPr>
            <w:tcW w:type="dxa" w:w="1728"/>
          </w:tcPr>
          <w:p>
            <w:r>
              <w:t>TikTok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3.8M</w:t>
            </w:r>
          </w:p>
        </w:tc>
      </w:tr>
    </w:tbl>
    <w:p>
      <w:r>
        <w:br w:type="page"/>
      </w:r>
    </w:p>
    <w:p>
      <w:pPr>
        <w:pStyle w:val="Heading1"/>
      </w:pPr>
      <w:r>
        <w:t>6. ESG &amp; REGULATORY</w:t>
      </w:r>
    </w:p>
    <w:p>
      <w:pPr>
        <w:pStyle w:val="Heading2"/>
      </w:pPr>
      <w:r>
        <w:t>New Legal/Regulatory Developments</w:t>
      </w:r>
    </w:p>
    <w:p>
      <w:r>
        <w:t>NORWAY: PM announced compliance acceleration (improving)</w:t>
      </w:r>
    </w:p>
    <w:p>
      <w:r>
        <w:t>BRAZIL: MPF preliminary findings critical (escalating)</w:t>
      </w:r>
    </w:p>
    <w:p>
      <w:r>
        <w:t>UN: Special Rapporteur inquiry opened (new)</w:t>
      </w:r>
    </w:p>
    <w:p>
      <w:r>
        <w:t>ESG: Moody's rating under review (new)</w:t>
      </w:r>
    </w:p>
    <w:p>
      <w:pPr>
        <w:pStyle w:val="Heading2"/>
      </w:pPr>
      <w:r>
        <w:t>ILO 169 Status 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v3 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v4 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Trend</w:t>
            </w:r>
          </w:p>
        </w:tc>
      </w:tr>
      <w:tr>
        <w:tc>
          <w:tcPr>
            <w:tcW w:type="dxa" w:w="2160"/>
          </w:tcPr>
          <w:p>
            <w:r>
              <w:t>Fosen</w:t>
            </w:r>
          </w:p>
        </w:tc>
        <w:tc>
          <w:tcPr>
            <w:tcW w:type="dxa" w:w="2160"/>
          </w:tcPr>
          <w:p>
            <w:r>
              <w:t>Supreme Court violation</w:t>
            </w:r>
          </w:p>
        </w:tc>
        <w:tc>
          <w:tcPr>
            <w:tcW w:type="dxa" w:w="2160"/>
          </w:tcPr>
          <w:p>
            <w:r>
              <w:t>PM compliance plan announced</w:t>
            </w:r>
          </w:p>
        </w:tc>
        <w:tc>
          <w:tcPr>
            <w:tcW w:type="dxa" w:w="2160"/>
          </w:tcPr>
          <w:p>
            <w:r>
              <w:t>▲</w:t>
            </w:r>
          </w:p>
        </w:tc>
      </w:tr>
      <w:tr>
        <w:tc>
          <w:tcPr>
            <w:tcW w:type="dxa" w:w="2160"/>
          </w:tcPr>
          <w:p>
            <w:r>
              <w:t>Santa Eugênia</w:t>
            </w:r>
          </w:p>
        </w:tc>
        <w:tc>
          <w:tcPr>
            <w:tcW w:type="dxa" w:w="2160"/>
          </w:tcPr>
          <w:p>
            <w:r>
              <w:t>MPF review initiated</w:t>
            </w:r>
          </w:p>
        </w:tc>
        <w:tc>
          <w:tcPr>
            <w:tcW w:type="dxa" w:w="2160"/>
          </w:tcPr>
          <w:p>
            <w:r>
              <w:t>MPF findings critical</w:t>
            </w:r>
          </w:p>
        </w:tc>
        <w:tc>
          <w:tcPr>
            <w:tcW w:type="dxa" w:w="2160"/>
          </w:tcPr>
          <w:p>
            <w:r>
              <w:t>▼</w:t>
            </w:r>
          </w:p>
        </w:tc>
      </w:tr>
      <w:tr>
        <w:tc>
          <w:tcPr>
            <w:tcW w:type="dxa" w:w="2160"/>
          </w:tcPr>
          <w:p>
            <w:r>
              <w:t>Los Lagos</w:t>
            </w:r>
          </w:p>
        </w:tc>
        <w:tc>
          <w:tcPr>
            <w:tcW w:type="dxa" w:w="2160"/>
          </w:tcPr>
          <w:p>
            <w:r>
              <w:t>500+ meetings ongoing</w:t>
            </w:r>
          </w:p>
        </w:tc>
        <w:tc>
          <w:tcPr>
            <w:tcW w:type="dxa" w:w="2160"/>
          </w:tcPr>
          <w:p>
            <w:r>
              <w:t>Environmental compliance confirmed</w:t>
            </w:r>
          </w:p>
        </w:tc>
        <w:tc>
          <w:tcPr>
            <w:tcW w:type="dxa" w:w="2160"/>
          </w:tcPr>
          <w:p>
            <w:r>
              <w:t>▲</w:t>
            </w:r>
          </w:p>
        </w:tc>
      </w:tr>
      <w:tr>
        <w:tc>
          <w:tcPr>
            <w:tcW w:type="dxa" w:w="2160"/>
          </w:tcPr>
          <w:p>
            <w:r>
              <w:t>Devoll</w:t>
            </w:r>
          </w:p>
        </w:tc>
        <w:tc>
          <w:tcPr>
            <w:tcW w:type="dxa" w:w="2160"/>
          </w:tcPr>
          <w:p>
            <w:r>
              <w:t>Operational</w:t>
            </w:r>
          </w:p>
        </w:tc>
        <w:tc>
          <w:tcPr>
            <w:tcW w:type="dxa" w:w="2160"/>
          </w:tcPr>
          <w:p>
            <w:r>
              <w:t>Operational</w:t>
            </w:r>
          </w:p>
        </w:tc>
        <w:tc>
          <w:tcPr>
            <w:tcW w:type="dxa" w:w="2160"/>
          </w:tcPr>
          <w:p>
            <w:r>
              <w:t>→</w:t>
            </w:r>
          </w:p>
        </w:tc>
      </w:tr>
    </w:tbl>
    <w:p>
      <w:r>
        <w:br w:type="page"/>
      </w:r>
    </w:p>
    <w:p>
      <w:pPr>
        <w:pStyle w:val="Heading1"/>
      </w:pPr>
      <w:r>
        <w:t>7. COMPETITIVE INTELLIGENCE</w:t>
      </w:r>
    </w:p>
    <w:p>
      <w:pPr>
        <w:pStyle w:val="Heading2"/>
      </w:pPr>
      <w:r>
        <w:t>ESG Rating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ESG Rating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Indigenous Track Record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Statkraft</w:t>
            </w:r>
          </w:p>
        </w:tc>
        <w:tc>
          <w:tcPr>
            <w:tcW w:type="dxa" w:w="2160"/>
          </w:tcPr>
          <w:p>
            <w:r>
              <w:t>Under Review (Moody's)</w:t>
            </w:r>
          </w:p>
        </w:tc>
        <w:tc>
          <w:tcPr>
            <w:tcW w:type="dxa" w:w="2160"/>
          </w:tcPr>
          <w:p>
            <w:r>
              <w:t>Supreme Court violation; 3 countries</w:t>
            </w:r>
          </w:p>
        </w:tc>
        <w:tc>
          <w:tcPr>
            <w:tcW w:type="dxa" w:w="2160"/>
          </w:tcPr>
          <w:p>
            <w:r>
              <w:t>Deteriorating</w:t>
            </w:r>
          </w:p>
        </w:tc>
      </w:tr>
      <w:tr>
        <w:tc>
          <w:tcPr>
            <w:tcW w:type="dxa" w:w="2160"/>
          </w:tcPr>
          <w:p>
            <w:r>
              <w:t>Equinor</w:t>
            </w:r>
          </w:p>
        </w:tc>
        <w:tc>
          <w:tcPr>
            <w:tcW w:type="dxa" w:w="2160"/>
          </w:tcPr>
          <w:p>
            <w:r>
              <w:t>A- (stable)</w:t>
            </w:r>
          </w:p>
        </w:tc>
        <w:tc>
          <w:tcPr>
            <w:tcW w:type="dxa" w:w="2160"/>
          </w:tcPr>
          <w:p>
            <w:r>
              <w:t>Better consultation protocols</w:t>
            </w:r>
          </w:p>
        </w:tc>
        <w:tc>
          <w:tcPr>
            <w:tcW w:type="dxa" w:w="2160"/>
          </w:tcPr>
          <w:p>
            <w:r>
              <w:t>Stable</w:t>
            </w:r>
          </w:p>
        </w:tc>
      </w:tr>
      <w:tr>
        <w:tc>
          <w:tcPr>
            <w:tcW w:type="dxa" w:w="2160"/>
          </w:tcPr>
          <w:p>
            <w:r>
              <w:t>Enel</w:t>
            </w:r>
          </w:p>
        </w:tc>
        <w:tc>
          <w:tcPr>
            <w:tcW w:type="dxa" w:w="2160"/>
          </w:tcPr>
          <w:p>
            <w:r>
              <w:t>BBB+ (stable)</w:t>
            </w:r>
          </w:p>
        </w:tc>
        <w:tc>
          <w:tcPr>
            <w:tcW w:type="dxa" w:w="2160"/>
          </w:tcPr>
          <w:p>
            <w:r>
              <w:t>Established engagement</w:t>
            </w:r>
          </w:p>
        </w:tc>
        <w:tc>
          <w:tcPr>
            <w:tcW w:type="dxa" w:w="2160"/>
          </w:tcPr>
          <w:p>
            <w:r>
              <w:t>Stable</w:t>
            </w:r>
          </w:p>
        </w:tc>
      </w:tr>
      <w:tr>
        <w:tc>
          <w:tcPr>
            <w:tcW w:type="dxa" w:w="2160"/>
          </w:tcPr>
          <w:p>
            <w:r>
              <w:t>Scatec</w:t>
            </w:r>
          </w:p>
        </w:tc>
        <w:tc>
          <w:tcPr>
            <w:tcW w:type="dxa" w:w="2160"/>
          </w:tcPr>
          <w:p>
            <w:r>
              <w:t>A- (stable)</w:t>
            </w:r>
          </w:p>
        </w:tc>
        <w:tc>
          <w:tcPr>
            <w:tcW w:type="dxa" w:w="2160"/>
          </w:tcPr>
          <w:p>
            <w:r>
              <w:t>No major conflicts</w:t>
            </w:r>
          </w:p>
        </w:tc>
        <w:tc>
          <w:tcPr>
            <w:tcW w:type="dxa" w:w="2160"/>
          </w:tcPr>
          <w:p>
            <w:r>
              <w:t>Stable</w:t>
            </w:r>
          </w:p>
        </w:tc>
      </w:tr>
      <w:tr>
        <w:tc>
          <w:tcPr>
            <w:tcW w:type="dxa" w:w="2160"/>
          </w:tcPr>
          <w:p>
            <w:r>
              <w:t>Ørsted</w:t>
            </w:r>
          </w:p>
        </w:tc>
        <w:tc>
          <w:tcPr>
            <w:tcW w:type="dxa" w:w="2160"/>
          </w:tcPr>
          <w:p>
            <w:r>
              <w:t>A (stable)</w:t>
            </w:r>
          </w:p>
        </w:tc>
        <w:tc>
          <w:tcPr>
            <w:tcW w:type="dxa" w:w="2160"/>
          </w:tcPr>
          <w:p>
            <w:r>
              <w:t>Strong ESG track record</w:t>
            </w:r>
          </w:p>
        </w:tc>
        <w:tc>
          <w:tcPr>
            <w:tcW w:type="dxa" w:w="2160"/>
          </w:tcPr>
          <w:p>
            <w:r>
              <w:t>Stable</w:t>
            </w:r>
          </w:p>
        </w:tc>
      </w:tr>
    </w:tbl>
    <w:p>
      <w:r>
        <w:br w:type="page"/>
      </w:r>
    </w:p>
    <w:p>
      <w:pPr>
        <w:pStyle w:val="Heading1"/>
      </w:pPr>
      <w:r>
        <w:t>8. RISK ASSESSMENT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v3 Level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v4 Level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Driver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Timeline</w:t>
            </w:r>
          </w:p>
        </w:tc>
      </w:tr>
      <w:tr>
        <w:tc>
          <w:tcPr>
            <w:tcW w:type="dxa" w:w="1728"/>
          </w:tcPr>
          <w:p>
            <w:r>
              <w:t>Systemic ESG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UN inquiry</w:t>
            </w:r>
          </w:p>
        </w:tc>
        <w:tc>
          <w:tcPr>
            <w:tcW w:type="dxa" w:w="1728"/>
          </w:tcPr>
          <w:p>
            <w:r>
              <w:t>Immediate</w:t>
            </w:r>
          </w:p>
        </w:tc>
      </w:tr>
      <w:tr>
        <w:tc>
          <w:tcPr>
            <w:tcW w:type="dxa" w:w="1728"/>
          </w:tcPr>
          <w:p>
            <w:r>
              <w:t>Legal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MPF findings</w:t>
            </w:r>
          </w:p>
        </w:tc>
        <w:tc>
          <w:tcPr>
            <w:tcW w:type="dxa" w:w="1728"/>
          </w:tcPr>
          <w:p>
            <w:r>
              <w:t>Immediate</w:t>
            </w:r>
          </w:p>
        </w:tc>
      </w:tr>
      <w:tr>
        <w:tc>
          <w:tcPr>
            <w:tcW w:type="dxa" w:w="1728"/>
          </w:tcPr>
          <w:p>
            <w:r>
              <w:t>Reputational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Norway PM intervention</w:t>
            </w:r>
          </w:p>
        </w:tc>
        <w:tc>
          <w:tcPr>
            <w:tcW w:type="dxa" w:w="1728"/>
          </w:tcPr>
          <w:p>
            <w:r>
              <w:t>30 days</w:t>
            </w:r>
          </w:p>
        </w:tc>
      </w:tr>
      <w:tr>
        <w:tc>
          <w:tcPr>
            <w:tcW w:type="dxa" w:w="1728"/>
          </w:tcPr>
          <w:p>
            <w:r>
              <w:t>UN/Sovereign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UN inquiry opened</w:t>
            </w:r>
          </w:p>
        </w:tc>
        <w:tc>
          <w:tcPr>
            <w:tcW w:type="dxa" w:w="1728"/>
          </w:tcPr>
          <w:p>
            <w:r>
              <w:t>90 days</w:t>
            </w:r>
          </w:p>
        </w:tc>
      </w:tr>
      <w:tr>
        <w:tc>
          <w:tcPr>
            <w:tcW w:type="dxa" w:w="1728"/>
          </w:tcPr>
          <w:p>
            <w:r>
              <w:t>Financial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Moody's review</w:t>
            </w:r>
          </w:p>
        </w:tc>
        <w:tc>
          <w:tcPr>
            <w:tcW w:type="dxa" w:w="1728"/>
          </w:tcPr>
          <w:p>
            <w:r>
              <w:t>60 days</w:t>
            </w:r>
          </w:p>
        </w:tc>
      </w:tr>
      <w:tr>
        <w:tc>
          <w:tcPr>
            <w:tcW w:type="dxa" w:w="1728"/>
          </w:tcPr>
          <w:p>
            <w:r>
              <w:t>Operational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Fosen compliance plan</w:t>
            </w:r>
          </w:p>
        </w:tc>
        <w:tc>
          <w:tcPr>
            <w:tcW w:type="dxa" w:w="1728"/>
          </w:tcPr>
          <w:p>
            <w:r>
              <w:t>90 days</w:t>
            </w:r>
          </w:p>
        </w:tc>
      </w:tr>
      <w:tr>
        <w:tc>
          <w:tcPr>
            <w:tcW w:type="dxa" w:w="1728"/>
          </w:tcPr>
          <w:p>
            <w:r>
              <w:t>Strategic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Pattern confirmed</w:t>
            </w:r>
          </w:p>
        </w:tc>
        <w:tc>
          <w:tcPr>
            <w:tcW w:type="dxa" w:w="1728"/>
          </w:tcPr>
          <w:p>
            <w:r>
              <w:t>Ongoing</w:t>
            </w:r>
          </w:p>
        </w:tc>
      </w:tr>
    </w:tbl>
    <w:p>
      <w:r>
        <w:br w:type="page"/>
      </w:r>
    </w:p>
    <w:p>
      <w:pPr>
        <w:pStyle w:val="Heading1"/>
      </w:pPr>
      <w:r>
        <w:t>9. GAP ANALYSIS</w:t>
      </w:r>
    </w:p>
    <w:p>
      <w:pPr>
        <w:pStyle w:val="Heading2"/>
      </w:pPr>
      <w:r>
        <w:t>What May Have Been Missed</w:t>
      </w:r>
    </w:p>
    <w:p>
      <w:pPr>
        <w:pStyle w:val="ListBullet"/>
      </w:pPr>
      <w:r>
        <w:t>• UN inquiry internal documentation</w:t>
      </w:r>
    </w:p>
    <w:p>
      <w:pPr>
        <w:pStyle w:val="ListBullet"/>
      </w:pPr>
      <w:r>
        <w:t>• Norway-Sami negotiations behind closed doors</w:t>
      </w:r>
    </w:p>
    <w:p>
      <w:pPr>
        <w:pStyle w:val="ListBullet"/>
      </w:pPr>
      <w:r>
        <w:t>• Statkraft Board deliberations on Fosen compliance</w:t>
      </w:r>
    </w:p>
    <w:p>
      <w:pPr>
        <w:pStyle w:val="ListBullet"/>
      </w:pPr>
      <w:r>
        <w:t>• MPF full report (preliminary only)</w:t>
      </w:r>
    </w:p>
    <w:p>
      <w:pPr>
        <w:pStyle w:val="Heading2"/>
      </w:pPr>
      <w:r>
        <w:t>v5 Follow-Up</w:t>
      </w:r>
    </w:p>
    <w:p>
      <w:pPr>
        <w:pStyle w:val="ListBullet"/>
      </w:pPr>
      <w:r>
        <w:t>• Monitor Fosen compliance implementation weekly</w:t>
      </w:r>
    </w:p>
    <w:p>
      <w:pPr>
        <w:pStyle w:val="ListBullet"/>
      </w:pPr>
      <w:r>
        <w:t>• Track UN inquiry preliminary findings</w:t>
      </w:r>
    </w:p>
    <w:p>
      <w:pPr>
        <w:pStyle w:val="ListBullet"/>
      </w:pPr>
      <w:r>
        <w:t>• Watch Moody's ESG rating decision</w:t>
      </w:r>
    </w:p>
    <w:p>
      <w:r>
        <w:br w:type="page"/>
      </w:r>
    </w:p>
    <w:p>
      <w:pPr>
        <w:pStyle w:val="Heading1"/>
      </w:pPr>
      <w:r>
        <w:t>10. STRATEGIC RECOMMENDATIONS</w:t>
      </w:r>
    </w:p>
    <w:p>
      <w:pPr>
        <w:pStyle w:val="Heading2"/>
      </w:pPr>
      <w:r>
        <w:t>Immediate (Next 7 Days)</w:t>
      </w:r>
    </w:p>
    <w:p>
      <w:pPr>
        <w:pStyle w:val="ListNumber"/>
      </w:pPr>
      <w:r>
        <w:t>1. FOSEN: Publicly welcome PM compliance announcement; accelerate timeline</w:t>
      </w:r>
    </w:p>
    <w:p>
      <w:pPr>
        <w:pStyle w:val="ListNumber"/>
      </w:pPr>
      <w:r>
        <w:t>2. UN: Cooperate fully with Special Rapporteur inquiry</w:t>
      </w:r>
    </w:p>
    <w:p>
      <w:pPr>
        <w:pStyle w:val="ListNumber"/>
      </w:pPr>
      <w:r>
        <w:t>3. BRAZIL: Respond to MPF findings with concrete remediation plan</w:t>
      </w:r>
    </w:p>
    <w:p>
      <w:pPr>
        <w:pStyle w:val="ListNumber"/>
      </w:pPr>
      <w:r>
        <w:t>4. MOODY'S: Proactive engagement on ESG rating review</w:t>
      </w:r>
    </w:p>
    <w:p>
      <w:pPr>
        <w:pStyle w:val="Heading2"/>
      </w:pPr>
      <w:r>
        <w:t>Short-Term (30 Days)</w:t>
      </w:r>
    </w:p>
    <w:p>
      <w:pPr>
        <w:pStyle w:val="ListNumber"/>
      </w:pPr>
      <w:r>
        <w:t>1. FOSEN: Publish detailed compliance roadmap with milestones</w:t>
      </w:r>
    </w:p>
    <w:p>
      <w:pPr>
        <w:pStyle w:val="ListNumber"/>
      </w:pPr>
      <w:r>
        <w:t>2. BRAZIL: Federal-level indigenous consultation protocol</w:t>
      </w:r>
    </w:p>
    <w:p>
      <w:pPr>
        <w:pStyle w:val="ListNumber"/>
      </w:pPr>
      <w:r>
        <w:t>3. GLOBAL: Company-wide FPIC implementation framework</w:t>
      </w:r>
    </w:p>
    <w:p>
      <w:pPr>
        <w:pStyle w:val="Heading2"/>
      </w:pPr>
      <w:r>
        <w:t>Long-Term (90 Days)</w:t>
      </w:r>
    </w:p>
    <w:p>
      <w:pPr>
        <w:pStyle w:val="ListNumber"/>
      </w:pPr>
      <w:r>
        <w:t>1. Turn UN inquiry into transparency showcase</w:t>
      </w:r>
    </w:p>
    <w:p>
      <w:pPr>
        <w:pStyle w:val="ListNumber"/>
      </w:pPr>
      <w:r>
        <w:t>2. Best-practice indigenous rights leadership</w:t>
      </w:r>
    </w:p>
    <w:p>
      <w:pPr>
        <w:pStyle w:val="ListNumber"/>
      </w:pPr>
      <w:r>
        <w:t>3. Sector-wide standards proposal</w:t>
      </w:r>
    </w:p>
    <w:p>
      <w:r>
        <w:br w:type="page"/>
      </w:r>
    </w:p>
    <w:p>
      <w:pPr>
        <w:pStyle w:val="Heading1"/>
      </w:pPr>
      <w:r>
        <w:t>APPENDIX: v4 METHODOLOGY</w:t>
      </w:r>
    </w:p>
    <w:p>
      <w:pPr>
        <w:pStyle w:val="Heading2"/>
      </w:pPr>
      <w:r>
        <w:t>Version Building Protocol</w:t>
      </w:r>
    </w:p>
    <w:p>
      <w:r>
        <w:t>v4 preserves ALL v3 content and adds new week developments:</w:t>
      </w:r>
    </w:p>
    <w:p>
      <w:r>
        <w:t>• v3 baseline: Fosen, Los Lagos, Santa Eugênia, Devoll analysis</w:t>
      </w:r>
    </w:p>
    <w:p>
      <w:r>
        <w:t>• v4 additions: Norway PM announcement, UN inquiry, MPF findings, Moody's review</w:t>
      </w:r>
    </w:p>
    <w:p>
      <w:r>
        <w:t>• Trend analysis: 4-week progression (v1→v2→v3→v4)</w:t>
      </w:r>
    </w:p>
    <w:p>
      <w:r>
        <w:t>• Risk evolution: Tracks how each project risk changes week-over-week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