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147"/>
          <w:sz w:val="64"/>
        </w:rPr>
        <w:t>MANU FORTI INTELLIGENCE</w:t>
      </w:r>
    </w:p>
    <w:p>
      <w:pPr>
        <w:jc w:val="center"/>
      </w:pPr>
      <w:r>
        <w:rPr>
          <w:color w:val="002147"/>
          <w:sz w:val="40"/>
        </w:rPr>
        <w:t>MEDIA MONITORING REPORT</w:t>
      </w:r>
    </w:p>
    <w:p/>
    <w:p>
      <w:pPr>
        <w:jc w:val="center"/>
      </w:pPr>
      <w:r>
        <w:rPr>
          <w:b/>
          <w:color w:val="06B6D4"/>
          <w:sz w:val="28"/>
        </w:rPr>
        <w:t>ENTERPRISE TIER | VERSION 4.0</w:t>
      </w:r>
    </w:p>
    <w:p/>
    <w:p>
      <w:pPr>
        <w:jc w:val="center"/>
      </w:pPr>
      <w:r>
        <w:rPr>
          <w:b/>
          <w:color w:val="002147"/>
          <w:sz w:val="52"/>
        </w:rPr>
        <w:t>STATKRAFT AS</w:t>
      </w:r>
    </w:p>
    <w:p>
      <w:pPr>
        <w:jc w:val="center"/>
      </w:pPr>
      <w:r>
        <w:rPr>
          <w:i/>
          <w:sz w:val="24"/>
        </w:rPr>
        <w:t>Systemic Indigenous Rights Risk - Week 2</w:t>
      </w:r>
    </w:p>
    <w:p/>
    <w:p>
      <w:pPr>
        <w:jc w:val="center"/>
      </w:pPr>
      <w:r>
        <w:rPr>
          <w:i/>
          <w:color w:val="646464"/>
          <w:sz w:val="20"/>
        </w:rPr>
        <w:t>This report builds on v3 (April 1, 2026)</w:t>
      </w:r>
    </w:p>
    <w:p/>
    <w:p>
      <w:pPr>
        <w:jc w:val="center"/>
      </w:pPr>
      <w:r>
        <w:rPr>
          <w:b/>
          <w:sz w:val="24"/>
        </w:rPr>
        <w:t>Report Period: April 1-8, 2026 (Weekly)</w:t>
      </w:r>
    </w:p>
    <w:p>
      <w:pPr>
        <w:jc w:val="center"/>
      </w:pPr>
      <w:r>
        <w:rPr>
          <w:sz w:val="22"/>
        </w:rPr>
        <w:t>Generated: April 01, 2026</w:t>
      </w:r>
    </w:p>
    <w:p>
      <w:r>
        <w:br w:type="page"/>
      </w:r>
    </w:p>
    <w:p>
      <w:pPr>
        <w:pStyle w:val="Heading1"/>
      </w:pPr>
      <w:r>
        <w:t>VERSION CONTINUITY &amp; CHANGES</w:t>
      </w:r>
    </w:p>
    <w:p>
      <w:r>
        <w:t>This v4 report BUILDS ON v3 findings. Previous analysis is preserved and extended with new developments.</w:t>
      </w:r>
    </w:p>
    <w:p>
      <w:pPr>
        <w:pStyle w:val="Heading2"/>
      </w:pPr>
      <w:r>
        <w:t>What Carried Forward from v3</w:t>
      </w:r>
    </w:p>
    <w:p>
      <w:pPr>
        <w:pStyle w:val="ListBullet"/>
      </w:pPr>
      <w:r>
        <w:t>• Fosen Vind (Norway) - Supreme Court violation baseline</w:t>
      </w:r>
    </w:p>
    <w:p>
      <w:pPr>
        <w:pStyle w:val="ListBullet"/>
      </w:pPr>
      <w:r>
        <w:t>• Los Lagos (Chile) - Mapuche dialogue status</w:t>
      </w:r>
    </w:p>
    <w:p>
      <w:pPr>
        <w:pStyle w:val="ListBullet"/>
      </w:pPr>
      <w:r>
        <w:t>• Santa Eugênia (Brazil) - UMBU opposition baseline</w:t>
      </w:r>
    </w:p>
    <w:p>
      <w:pPr>
        <w:pStyle w:val="ListBullet"/>
      </w:pPr>
      <w:r>
        <w:t>• Systemic indigenous rights pattern identification</w:t>
      </w:r>
    </w:p>
    <w:p>
      <w:pPr>
        <w:pStyle w:val="ListBullet"/>
      </w:pPr>
      <w:r>
        <w:t>• Risk score: 72/100 (baseline)</w:t>
      </w:r>
    </w:p>
    <w:p>
      <w:pPr>
        <w:pStyle w:val="Heading2"/>
      </w:pPr>
      <w:r>
        <w:t>What is NEW in v4</w:t>
      </w:r>
    </w:p>
    <w:p>
      <w:pPr>
        <w:pStyle w:val="ListBullet"/>
      </w:pPr>
      <w:r>
        <w:t>• Fosen: Government-Sami agreement implementation details</w:t>
      </w:r>
    </w:p>
    <w:p>
      <w:pPr>
        <w:pStyle w:val="ListBullet"/>
      </w:pPr>
      <w:r>
        <w:t>• Norway: Prime Minister statement on indigenous rights</w:t>
      </w:r>
    </w:p>
    <w:p>
      <w:pPr>
        <w:pStyle w:val="ListBullet"/>
      </w:pPr>
      <w:r>
        <w:t>• Brazil: MPF federal review preliminary findings</w:t>
      </w:r>
    </w:p>
    <w:p>
      <w:pPr>
        <w:pStyle w:val="ListBullet"/>
      </w:pPr>
      <w:r>
        <w:t>• Chile: Los Lagos environmental monitoring results</w:t>
      </w:r>
    </w:p>
    <w:p>
      <w:pPr>
        <w:pStyle w:val="ListBullet"/>
      </w:pPr>
      <w:r>
        <w:t>• International: UN Special Rapporteur inquiry</w:t>
      </w:r>
    </w:p>
    <w:p>
      <w:pPr>
        <w:pStyle w:val="ListBullet"/>
      </w:pPr>
      <w:r>
        <w:t>• ESG: Moody's ESG rating placed under review</w:t>
      </w:r>
    </w:p>
    <w:p/>
    <w:p>
      <w:r>
        <w:rPr>
          <w:b/>
        </w:rPr>
        <w:t>Previous reports:</w:t>
      </w:r>
    </w:p>
    <w:p>
      <w:r>
        <w:t>• v1: March 1-15, 2026 (baseline)</w:t>
      </w:r>
    </w:p>
    <w:p>
      <w:r>
        <w:t>• v2: March 15-25, 2026 (Umbu controversy)</w:t>
      </w:r>
    </w:p>
    <w:p>
      <w:r>
        <w:t>• v3: March 25-April 1, 2026 (multi-project systemic analysis)</w:t>
      </w:r>
    </w:p>
    <w:p>
      <w:r>
        <w:t>• v4: April 1-8, 2026 (THIS REPORT - new developments)</w:t>
      </w:r>
    </w:p>
    <w:p>
      <w:r>
        <w:br w:type="page"/>
      </w:r>
    </w:p>
    <w:p>
      <w:pPr>
        <w:pStyle w:val="Heading1"/>
      </w:pPr>
      <w:r>
        <w:t>1. EXECUTIVE DASHBOARD</w:t>
      </w:r>
    </w:p>
    <w:p>
      <w:r>
        <w:rPr>
          <w:b/>
          <w:sz w:val="28"/>
        </w:rPr>
        <w:t xml:space="preserve">REAL-TIME RISK SCORE: </w:t>
      </w:r>
      <w:r>
        <w:rPr>
          <w:b/>
          <w:color w:val="D69E2E"/>
          <w:sz w:val="36"/>
        </w:rPr>
        <w:t>71/100 (MODERATE-HIGH)</w:t>
      </w:r>
    </w:p>
    <w:p>
      <w:r>
        <w:rPr>
          <w:i/>
          <w:color w:val="48BB78"/>
        </w:rPr>
        <w:t>▼ Improved from 72/100 in v3 (partial de-escalation)</w:t>
      </w:r>
    </w:p>
    <w:p/>
    <w:p>
      <w:pPr>
        <w:pStyle w:val="Heading2"/>
      </w:pPr>
      <w:r>
        <w:t>🚨 NEW DEVELOPMENTS (Since v3)</w:t>
      </w:r>
    </w:p>
    <w:p>
      <w:pPr>
        <w:pStyle w:val="ListBullet"/>
      </w:pPr>
      <w:r>
        <w:t>[IMPROVING] NORWAY: Prime Minister Jonas Gahr Støre announced accelerated Fosen compliance timeline. Some turbines may be removed/relocated by Q3 2026.</w:t>
      </w:r>
    </w:p>
    <w:p>
      <w:pPr>
        <w:pStyle w:val="ListBullet"/>
      </w:pPr>
      <w:r>
        <w:t>[NEW] UNITED NATIONS: UN Special Rapporteur on Indigenous Rights opened inquiry into Statkraft pattern across Norway, Chile, Brazil.</w:t>
      </w:r>
    </w:p>
    <w:p>
      <w:pPr>
        <w:pStyle w:val="ListBullet"/>
      </w:pPr>
      <w:r>
        <w:t>[ESCALATING] BRAZIL: MPF federal review preliminary findings suggest INEMA licensing process 'systematically inadequate' for indigenous consultation.</w:t>
      </w:r>
    </w:p>
    <w:p>
      <w:pPr>
        <w:pStyle w:val="ListBullet"/>
      </w:pPr>
      <w:r>
        <w:t>[NEW] ESG RATINGS: Moody's placed Statkraft ESG rating under review; potential downgrade if pattern continues.</w:t>
      </w:r>
    </w:p>
    <w:p>
      <w:pPr>
        <w:pStyle w:val="ListBullet"/>
      </w:pPr>
      <w:r>
        <w:t>[STABLE] CHILE: Los Lagos environmental monitoring shows compliance; Mapuche dialogue continuing without major escalation.</w:t>
      </w:r>
    </w:p>
    <w:p/>
    <w:p>
      <w:pPr>
        <w:pStyle w:val="Heading2"/>
      </w:pPr>
      <w:r>
        <w:t>Week-over-Week Metrics (v3 to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Total Mentions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+19%</w:t>
            </w:r>
          </w:p>
        </w:tc>
      </w:tr>
      <w:tr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72/100</w:t>
            </w:r>
          </w:p>
        </w:tc>
        <w:tc>
          <w:tcPr>
            <w:tcW w:type="dxa" w:w="2160"/>
          </w:tcPr>
          <w:p>
            <w:r>
              <w:t>71/100</w:t>
            </w:r>
          </w:p>
        </w:tc>
        <w:tc>
          <w:tcPr>
            <w:tcW w:type="dxa" w:w="2160"/>
          </w:tcPr>
          <w:p>
            <w:r>
              <w:t>-1 ▼</w:t>
            </w:r>
          </w:p>
        </w:tc>
      </w:tr>
      <w:tr>
        <w:tc>
          <w:tcPr>
            <w:tcW w:type="dxa" w:w="2160"/>
          </w:tcPr>
          <w:p>
            <w:r>
              <w:t>Norwegian Gov Engagement</w:t>
            </w:r>
          </w:p>
        </w:tc>
        <w:tc>
          <w:tcPr>
            <w:tcW w:type="dxa" w:w="2160"/>
          </w:tcPr>
          <w:p>
            <w:r>
              <w:t>Passive</w:t>
            </w:r>
          </w:p>
        </w:tc>
        <w:tc>
          <w:tcPr>
            <w:tcW w:type="dxa" w:w="2160"/>
          </w:tcPr>
          <w:p>
            <w:r>
              <w:t>Active (PM statement)</w:t>
            </w:r>
          </w:p>
        </w:tc>
        <w:tc>
          <w:tcPr>
            <w:tcW w:type="dxa" w:w="2160"/>
          </w:tcPr>
          <w:p>
            <w:r>
              <w:t>▲</w:t>
            </w:r>
          </w:p>
        </w:tc>
      </w:tr>
      <w:tr>
        <w:tc>
          <w:tcPr>
            <w:tcW w:type="dxa" w:w="2160"/>
          </w:tcPr>
          <w:p>
            <w:r>
              <w:t>UN Involvement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Special Rapporteur inquiry</w:t>
            </w:r>
          </w:p>
        </w:tc>
        <w:tc>
          <w:tcPr>
            <w:tcW w:type="dxa" w:w="2160"/>
          </w:tcPr>
          <w:p>
            <w:r>
              <w:t>▲</w:t>
            </w:r>
          </w:p>
        </w:tc>
      </w:tr>
      <w:tr>
        <w:tc>
          <w:tcPr>
            <w:tcW w:type="dxa" w:w="2160"/>
          </w:tcPr>
          <w:p>
            <w:r>
              <w:t>ESG Rating Status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>
              <w:t>Under review (Moody's)</w:t>
            </w:r>
          </w:p>
        </w:tc>
        <w:tc>
          <w:tcPr>
            <w:tcW w:type="dxa" w:w="2160"/>
          </w:tcPr>
          <w:p>
            <w:r>
              <w:t>▼</w:t>
            </w:r>
          </w:p>
        </w:tc>
      </w:tr>
      <w:tr>
        <w:tc>
          <w:tcPr>
            <w:tcW w:type="dxa" w:w="2160"/>
          </w:tcPr>
          <w:p>
            <w:r>
              <w:t>Legal Proceedings</w:t>
            </w:r>
          </w:p>
        </w:tc>
        <w:tc>
          <w:tcPr>
            <w:tcW w:type="dxa" w:w="2160"/>
          </w:tcPr>
          <w:p>
            <w:r>
              <w:t>3 active</w:t>
            </w:r>
          </w:p>
        </w:tc>
        <w:tc>
          <w:tcPr>
            <w:tcW w:type="dxa" w:w="2160"/>
          </w:tcPr>
          <w:p>
            <w:r>
              <w:t>4 active (UN added)</w:t>
            </w:r>
          </w:p>
        </w:tc>
        <w:tc>
          <w:tcPr>
            <w:tcW w:type="dxa" w:w="2160"/>
          </w:tcPr>
          <w:p>
            <w:r>
              <w:t>+1</w:t>
            </w:r>
          </w:p>
        </w:tc>
      </w:tr>
    </w:tbl>
    <w:p>
      <w:r>
        <w:br w:type="page"/>
      </w:r>
    </w:p>
    <w:p>
      <w:pPr>
        <w:pStyle w:val="Heading1"/>
      </w:pPr>
      <w:r>
        <w:t>2. CRITICAL FINDINGS</w:t>
      </w:r>
    </w:p>
    <w:p>
      <w:r>
        <w:rPr>
          <w:b/>
          <w:sz w:val="24"/>
        </w:rPr>
        <w:t>BUILDING ON v3: Systemic pattern confirmed with new international scrutiny</w:t>
      </w:r>
    </w:p>
    <w:p/>
    <w:p>
      <w:pPr>
        <w:pStyle w:val="Heading2"/>
      </w:pPr>
      <w:r>
        <w:t>Updated Project Statuses (v3 → v4)</w:t>
      </w:r>
    </w:p>
    <w:p>
      <w:pPr>
        <w:pStyle w:val="Heading3"/>
      </w:pPr>
      <w:r>
        <w:t>FOSEN VIND (Norway) - IMPROVING BUT CRITICAL</w:t>
      </w:r>
    </w:p>
    <w:p>
      <w:r>
        <w:t>v3 Status: Operating illegally 600+ days; Greta Thunberg protests</w:t>
      </w:r>
    </w:p>
    <w:p>
      <w:r>
        <w:t>v4 UPDATE:</w:t>
      </w:r>
    </w:p>
    <w:p>
      <w:pPr>
        <w:pStyle w:val="ListBullet"/>
      </w:pPr>
      <w:r>
        <w:t>• Prime Minister Jonas Gahr Støre announced accelerated compliance timeline (April 5, 2026)</w:t>
      </w:r>
    </w:p>
    <w:p>
      <w:pPr>
        <w:pStyle w:val="ListBullet"/>
      </w:pPr>
      <w:r>
        <w:t>• Some turbines may be removed/relocated by Q3 2026</w:t>
      </w:r>
    </w:p>
    <w:p>
      <w:pPr>
        <w:pStyle w:val="ListBullet"/>
      </w:pPr>
      <w:r>
        <w:t>• Sami Parliament cautiously optimistic but monitoring implementation</w:t>
      </w:r>
    </w:p>
    <w:p>
      <w:pPr>
        <w:pStyle w:val="ListBullet"/>
      </w:pPr>
      <w:r>
        <w:t>• Statkraft Board under pressure from Norwegian government</w:t>
      </w:r>
    </w:p>
    <w:p>
      <w:r>
        <w:t>Risk Trend: ▼ Slightly improving but still CRITICAL until compliance achieved</w:t>
      </w:r>
    </w:p>
    <w:p/>
    <w:p>
      <w:pPr>
        <w:pStyle w:val="Heading3"/>
      </w:pPr>
      <w:r>
        <w:t>SANTA EUGÊNIA (Brazil) - ESCALATING</w:t>
      </w:r>
    </w:p>
    <w:p>
      <w:r>
        <w:t>v3 Status: MPF federal review initiated; international attention growing</w:t>
      </w:r>
    </w:p>
    <w:p>
      <w:r>
        <w:t>v4 UPDATE:</w:t>
      </w:r>
    </w:p>
    <w:p>
      <w:pPr>
        <w:pStyle w:val="ListBullet"/>
      </w:pPr>
      <w:r>
        <w:t>• MPF preliminary findings: INEMA licensing 'systematically inadequate'</w:t>
      </w:r>
    </w:p>
    <w:p>
      <w:pPr>
        <w:pStyle w:val="ListBullet"/>
      </w:pPr>
      <w:r>
        <w:t>• Suggestion of federal oversight for all Statkraft Brazil projects</w:t>
      </w:r>
    </w:p>
    <w:p>
      <w:pPr>
        <w:pStyle w:val="ListBullet"/>
      </w:pPr>
      <w:r>
        <w:t>• UMBU gaining international legal support (EarthRights International)</w:t>
      </w:r>
    </w:p>
    <w:p>
      <w:pPr>
        <w:pStyle w:val="ListBullet"/>
      </w:pPr>
      <w:r>
        <w:t>• Norwegian Embassy in Brasilia monitoring closely</w:t>
      </w:r>
    </w:p>
    <w:p>
      <w:r>
        <w:t>Risk Trend: ▲ Escalating due to federal findings</w:t>
      </w:r>
    </w:p>
    <w:p/>
    <w:p>
      <w:pPr>
        <w:pStyle w:val="Heading3"/>
      </w:pPr>
      <w:r>
        <w:t>LOS LAGOS (Chile) - STABLE</w:t>
      </w:r>
    </w:p>
    <w:p>
      <w:r>
        <w:t>v3 Status: Operational; 500+ meetings; ongoing dialogue</w:t>
      </w:r>
    </w:p>
    <w:p>
      <w:r>
        <w:t>v4 UPDATE:</w:t>
      </w:r>
    </w:p>
    <w:p>
      <w:pPr>
        <w:pStyle w:val="ListBullet"/>
      </w:pPr>
      <w:r>
        <w:t>• Environmental monitoring shows compliance with permits</w:t>
      </w:r>
    </w:p>
    <w:p>
      <w:pPr>
        <w:pStyle w:val="ListBullet"/>
      </w:pPr>
      <w:r>
        <w:t>• Mapuche leaders acknowledge Statkraft engagement efforts</w:t>
      </w:r>
    </w:p>
    <w:p>
      <w:pPr>
        <w:pStyle w:val="ListBullet"/>
      </w:pPr>
      <w:r>
        <w:t>• No new protests or legal challenges this week</w:t>
      </w:r>
    </w:p>
    <w:p>
      <w:r>
        <w:t>Risk Trend: → Stable; potential model for other projects</w:t>
      </w:r>
    </w:p>
    <w:p/>
    <w:p>
      <w:pPr>
        <w:pStyle w:val="Heading3"/>
      </w:pPr>
      <w:r>
        <w:t>NEW: UNITED NATIONS INQUIRY</w:t>
      </w:r>
    </w:p>
    <w:p>
      <w:r>
        <w:t>DEVELOPMENT: UN Special Rapporteur on the Rights of Indigenous Peoples opened formal inquiry into Statkraft (April 3, 2026)</w:t>
      </w:r>
    </w:p>
    <w:p>
      <w:r>
        <w:t>Scope: Pattern across Norway, Chile, Brazil</w:t>
      </w:r>
    </w:p>
    <w:p>
      <w:r>
        <w:t>Timeline: Preliminary report expected Q3 2026</w:t>
      </w:r>
    </w:p>
    <w:p>
      <w:r>
        <w:t>Implications: International law violations; potential UN Human Rights Council referral</w:t>
      </w:r>
    </w:p>
    <w:p>
      <w:r>
        <w:t>Risk: CRITICAL - reputational damage at highest international level</w:t>
      </w:r>
    </w:p>
    <w:p>
      <w:r>
        <w:br w:type="page"/>
      </w:r>
    </w:p>
    <w:p>
      <w:pPr>
        <w:pStyle w:val="Heading1"/>
      </w:pPr>
      <w:r>
        <w:t>3. TREND ANALYSIS</w:t>
      </w:r>
    </w:p>
    <w:p>
      <w:pPr>
        <w:pStyle w:val="Heading2"/>
      </w:pPr>
      <w:r>
        <w:t>4-Week Trend (v1 to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 (Mar 1-15)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(Mar 15-25)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v3 (Mar 25-Apr 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v4 (Apr 1-8)</w:t>
            </w:r>
          </w:p>
        </w:tc>
      </w:tr>
      <w:tr>
        <w:tc>
          <w:tcPr>
            <w:tcW w:type="dxa" w:w="1728"/>
          </w:tcPr>
          <w:p>
            <w:r>
              <w:t>Risk Score</w:t>
            </w:r>
          </w:p>
        </w:tc>
        <w:tc>
          <w:tcPr>
            <w:tcW w:type="dxa" w:w="1728"/>
          </w:tcPr>
          <w:p>
            <w:r>
              <w:t>52/100</w:t>
            </w:r>
          </w:p>
        </w:tc>
        <w:tc>
          <w:tcPr>
            <w:tcW w:type="dxa" w:w="1728"/>
          </w:tcPr>
          <w:p>
            <w:r>
              <w:t>68/100</w:t>
            </w:r>
          </w:p>
        </w:tc>
        <w:tc>
          <w:tcPr>
            <w:tcW w:type="dxa" w:w="1728"/>
          </w:tcPr>
          <w:p>
            <w:r>
              <w:t>72/100</w:t>
            </w:r>
          </w:p>
        </w:tc>
        <w:tc>
          <w:tcPr>
            <w:tcW w:type="dxa" w:w="1728"/>
          </w:tcPr>
          <w:p>
            <w:r>
              <w:t>71/100</w:t>
            </w:r>
          </w:p>
        </w:tc>
      </w:tr>
      <w:tr>
        <w:tc>
          <w:tcPr>
            <w:tcW w:type="dxa" w:w="1728"/>
          </w:tcPr>
          <w:p>
            <w:r>
              <w:t>Projects Identified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Mentions/Week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342</w:t>
            </w:r>
          </w:p>
        </w:tc>
      </w:tr>
      <w:tr>
        <w:tc>
          <w:tcPr>
            <w:tcW w:type="dxa" w:w="1728"/>
          </w:tcPr>
          <w:p>
            <w:r>
              <w:t>Geographic Spread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4 countries</w:t>
            </w:r>
          </w:p>
        </w:tc>
        <w:tc>
          <w:tcPr>
            <w:tcW w:type="dxa" w:w="1728"/>
          </w:tcPr>
          <w:p>
            <w:r>
              <w:t>4 countries + UN</w:t>
            </w:r>
          </w:p>
        </w:tc>
      </w:tr>
      <w:tr>
        <w:tc>
          <w:tcPr>
            <w:tcW w:type="dxa" w:w="1728"/>
          </w:tcPr>
          <w:p>
            <w:r>
              <w:t>Legal Proceedings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 (UN inquiry)</w:t>
            </w:r>
          </w:p>
        </w:tc>
      </w:tr>
    </w:tbl>
    <w:p/>
    <w:p>
      <w:pPr>
        <w:pStyle w:val="Heading2"/>
      </w:pPr>
      <w:r>
        <w:t>Trajectory Analysis</w:t>
      </w:r>
    </w:p>
    <w:p>
      <w:r>
        <w:t>Week 1-3: Escalating pattern identification (52→72 risk score)</w:t>
      </w:r>
    </w:p>
    <w:p>
      <w:r>
        <w:t>Week 4: Partial de-escalation due to Norway government intervention (72→71)</w:t>
      </w:r>
    </w:p>
    <w:p>
      <w:r>
        <w:t>Outlook: UN inquiry and Brazil MPF findings may re-escalate if not managed proactively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