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1A1A"/>
          <w:sz w:val="60"/>
        </w:rPr>
        <w:t>DIN PERSONLIGE HELSESJEF</w:t>
      </w:r>
    </w:p>
    <w:p/>
    <w:p>
      <w:pPr>
        <w:jc w:val="center"/>
      </w:pPr>
      <w:r>
        <w:rPr>
          <w:rFonts w:ascii="Calibri" w:hAnsi="Calibri"/>
          <w:b w:val="0"/>
          <w:i w:val="0"/>
          <w:color w:val="333333"/>
          <w:sz w:val="36"/>
        </w:rPr>
        <w:t>Oslo Concierge GP</w:t>
      </w:r>
    </w:p>
    <w:p/>
    <w:p>
      <w:pPr>
        <w:jc w:val="center"/>
      </w:pPr>
      <w:r>
        <w:rPr>
          <w:rFonts w:ascii="Calibri" w:hAnsi="Calibri"/>
          <w:b w:val="0"/>
          <w:i/>
          <w:color w:val="555555"/>
          <w:sz w:val="26"/>
        </w:rPr>
        <w:t>Full Business Plan &amp; Implementation Roadmap</w:t>
      </w:r>
    </w:p>
    <w:p/>
    <w:p>
      <w:pPr>
        <w:jc w:val="center"/>
      </w:pPr>
      <w:r>
        <w:rPr>
          <w:rFonts w:ascii="Calibri" w:hAnsi="Calibri"/>
          <w:b w:val="0"/>
          <w:i/>
          <w:color w:val="666666"/>
          <w:sz w:val="22"/>
        </w:rPr>
        <w:t>AI-Powered Personalised Private Medical Practice for Oslo Executives</w:t>
      </w:r>
    </w:p>
    <w:p/>
    <w:p/>
    <w:p/>
    <w:p/>
    <w:p>
      <w:pPr>
        <w:jc w:val="center"/>
      </w:pPr>
      <w:r>
        <w:t>Version 5  |  April 2026  |  CONFIDENTIAL</w:t>
      </w:r>
    </w:p>
    <w:p>
      <w:r>
        <w:br w:type="page"/>
      </w:r>
    </w:p>
    <w:p>
      <w:pPr>
        <w:pStyle w:val="Heading1"/>
      </w:pPr>
      <w:r>
        <w:rPr>
          <w:rFonts w:ascii="Calibri" w:hAnsi="Calibri"/>
          <w:color w:val="1A1A1A"/>
        </w:rPr>
        <w:t>1. Executive Summary</w:t>
      </w:r>
    </w:p>
    <w:p>
      <w:r>
        <w:t>Din Personlige Helsesjef — 'Your Personal Health Chief' — is Oslo's first dedicated Medical Concierge practice. It delivers the proactive, personalised healthcare Oslo's executive market has always needed but never been offered: a physician who genuinely knows you, tracks your health over time, and is available when you need them.</w:t>
      </w:r>
    </w:p>
    <w:p>
      <w:r>
        <w:t>The practice operates on a monthly membership model with three tiers (NOK 2,500 / 5,000 / 10,000 per month), targeting a panel of 50–100 members. At full capacity, it generates NOK 3–6 million in annual recurring revenue at net margins of 70–80% — comparable to the best consulting or legal practices in Oslo.</w:t>
      </w:r>
    </w:p>
    <w:p>
      <w:r>
        <w:t>The core innovation is the infrastructure that makes this operationally viable for a single physician. A sophisticated back-office system automates the administrative overhead that typically requires an entire support team: between-visit health monitoring, pre-consultation briefings, lab result processing, protocol management, and proactive member outreach. The physician focuses on the clinical relationship. The technology handles everything else.</w:t>
      </w:r>
    </w:p>
    <w:p>
      <w:r>
        <w:t>This is a medical practice — one that operates at a level of personal service Oslo's executive market has never been offered before.</w:t>
      </w:r>
    </w:p>
    <w:p/>
    <w:p>
      <w:pPr>
        <w:pStyle w:val="Heading2"/>
      </w:pPr>
      <w:r>
        <w:rPr>
          <w:rFonts w:ascii="Calibri" w:hAnsi="Calibri"/>
          <w:color w:val="1A1A1A"/>
        </w:rPr>
        <w:t>Key Metrics at Full Operation</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Metric</w:t>
            </w:r>
          </w:p>
        </w:tc>
        <w:tc>
          <w:tcPr>
            <w:tcW w:type="dxa" w:w="4536"/>
          </w:tcPr>
          <w:p>
            <w:r>
              <w:rPr>
                <w:rFonts w:ascii="Calibri" w:hAnsi="Calibri"/>
                <w:b/>
              </w:rPr>
              <w:t>Value</w:t>
            </w:r>
          </w:p>
        </w:tc>
      </w:tr>
      <w:tr>
        <w:tc>
          <w:tcPr>
            <w:tcW w:type="dxa" w:w="4536"/>
          </w:tcPr>
          <w:p>
            <w:r>
              <w:rPr>
                <w:rFonts w:ascii="Calibri" w:hAnsi="Calibri"/>
              </w:rPr>
              <w:t>Annual Recurring Revenue</w:t>
            </w:r>
          </w:p>
        </w:tc>
        <w:tc>
          <w:tcPr>
            <w:tcW w:type="dxa" w:w="4536"/>
          </w:tcPr>
          <w:p>
            <w:r>
              <w:rPr>
                <w:rFonts w:ascii="Calibri" w:hAnsi="Calibri"/>
              </w:rPr>
              <w:t>NOK 6,000,000</w:t>
            </w:r>
          </w:p>
        </w:tc>
      </w:tr>
      <w:tr>
        <w:tc>
          <w:tcPr>
            <w:tcW w:type="dxa" w:w="4536"/>
          </w:tcPr>
          <w:p>
            <w:r>
              <w:rPr>
                <w:rFonts w:ascii="Calibri" w:hAnsi="Calibri"/>
              </w:rPr>
              <w:t>Estimated Net Margin</w:t>
            </w:r>
          </w:p>
        </w:tc>
        <w:tc>
          <w:tcPr>
            <w:tcW w:type="dxa" w:w="4536"/>
          </w:tcPr>
          <w:p>
            <w:r>
              <w:rPr>
                <w:rFonts w:ascii="Calibri" w:hAnsi="Calibri"/>
              </w:rPr>
              <w:t>70–80%</w:t>
            </w:r>
          </w:p>
        </w:tc>
      </w:tr>
      <w:tr>
        <w:tc>
          <w:tcPr>
            <w:tcW w:type="dxa" w:w="4536"/>
          </w:tcPr>
          <w:p>
            <w:r>
              <w:rPr>
                <w:rFonts w:ascii="Calibri" w:hAnsi="Calibri"/>
              </w:rPr>
              <w:t>Panel Size</w:t>
            </w:r>
          </w:p>
        </w:tc>
        <w:tc>
          <w:tcPr>
            <w:tcW w:type="dxa" w:w="4536"/>
          </w:tcPr>
          <w:p>
            <w:r>
              <w:rPr>
                <w:rFonts w:ascii="Calibri" w:hAnsi="Calibri"/>
              </w:rPr>
              <w:t>50–100 members  (vs. 1,100+ for a standard fastlege)</w:t>
            </w:r>
          </w:p>
        </w:tc>
      </w:tr>
      <w:tr>
        <w:tc>
          <w:tcPr>
            <w:tcW w:type="dxa" w:w="4536"/>
          </w:tcPr>
          <w:p>
            <w:r>
              <w:rPr>
                <w:rFonts w:ascii="Calibri" w:hAnsi="Calibri"/>
              </w:rPr>
              <w:t>Time Commitment</w:t>
            </w:r>
          </w:p>
        </w:tc>
        <w:tc>
          <w:tcPr>
            <w:tcW w:type="dxa" w:w="4536"/>
          </w:tcPr>
          <w:p>
            <w:r>
              <w:rPr>
                <w:rFonts w:ascii="Calibri" w:hAnsi="Calibri"/>
              </w:rPr>
              <w:t>3–4 clinical days/week</w:t>
            </w:r>
          </w:p>
        </w:tc>
      </w:tr>
      <w:tr>
        <w:tc>
          <w:tcPr>
            <w:tcW w:type="dxa" w:w="4536"/>
          </w:tcPr>
          <w:p>
            <w:r>
              <w:rPr>
                <w:rFonts w:ascii="Calibri" w:hAnsi="Calibri"/>
              </w:rPr>
              <w:t>Break-even</w:t>
            </w:r>
          </w:p>
        </w:tc>
        <w:tc>
          <w:tcPr>
            <w:tcW w:type="dxa" w:w="4536"/>
          </w:tcPr>
          <w:p>
            <w:r>
              <w:rPr>
                <w:rFonts w:ascii="Calibri" w:hAnsi="Calibri"/>
              </w:rPr>
              <w:t>~15 members  (NOK 900,000–1,125,000/year)</w:t>
            </w:r>
          </w:p>
        </w:tc>
      </w:tr>
      <w:tr>
        <w:tc>
          <w:tcPr>
            <w:tcW w:type="dxa" w:w="4536"/>
          </w:tcPr>
          <w:p>
            <w:r>
              <w:rPr>
                <w:rFonts w:ascii="Calibri" w:hAnsi="Calibri"/>
              </w:rPr>
              <w:t>Launch Timeline</w:t>
            </w:r>
          </w:p>
        </w:tc>
        <w:tc>
          <w:tcPr>
            <w:tcW w:type="dxa" w:w="4536"/>
          </w:tcPr>
          <w:p>
            <w:r>
              <w:rPr>
                <w:rFonts w:ascii="Calibri" w:hAnsi="Calibri"/>
              </w:rPr>
              <w:t>First paying members within 60–90 days</w:t>
            </w:r>
          </w:p>
        </w:tc>
      </w:tr>
    </w:tbl>
    <w:p>
      <w:r>
        <w:br w:type="page"/>
      </w:r>
    </w:p>
    <w:p>
      <w:pPr>
        <w:pStyle w:val="Heading1"/>
      </w:pPr>
      <w:r>
        <w:rPr>
          <w:rFonts w:ascii="Calibri" w:hAnsi="Calibri"/>
          <w:color w:val="1A1A1A"/>
        </w:rPr>
        <w:t>2. The Market Opportunity</w:t>
      </w:r>
    </w:p>
    <w:p>
      <w:pPr>
        <w:pStyle w:val="Heading2"/>
      </w:pPr>
      <w:r>
        <w:rPr>
          <w:rFonts w:ascii="Calibri" w:hAnsi="Calibri"/>
          <w:color w:val="1A1A1A"/>
        </w:rPr>
        <w:t>2.1  A Structural Failure at the Top End</w:t>
      </w:r>
    </w:p>
    <w:p>
      <w:r>
        <w:rPr>
          <w:rFonts w:ascii="Calibri" w:hAnsi="Calibri"/>
          <w:b w:val="0"/>
          <w:i w:val="0"/>
          <w:sz w:val="21"/>
        </w:rPr>
        <w:t>The Norwegian fastlege system was designed for coverage, not for quality at the executive level. The average fastlege manages 1,100+ patients, delivers 10-minute consultations, has no infrastructure for between-visit contact, and operates almost entirely reactively — treating illness when it arrives rather than preventing or optimising health.</w:t>
      </w:r>
    </w:p>
    <w:p>
      <w:r>
        <w:rPr>
          <w:rFonts w:ascii="Calibri" w:hAnsi="Calibri"/>
          <w:b w:val="0"/>
          <w:i w:val="0"/>
          <w:sz w:val="21"/>
        </w:rPr>
        <w:t>Oslo's executive class experiences this as a jarring contrast to every other premium service in their life. These are people who apply data-driven thinking to every corner of their professional existence. They have personal trainers with biometric programmes, financial advisors who know their complete picture, lawyers on retainer, executive coaches. Their health — often their most valuable asset — gets a 10-minute appointment every few years.</w:t>
      </w:r>
    </w:p>
    <w:p>
      <w:r>
        <w:rPr>
          <w:rFonts w:ascii="Calibri" w:hAnsi="Calibri"/>
          <w:b/>
          <w:i w:val="0"/>
          <w:sz w:val="21"/>
        </w:rPr>
        <w:t>The problem is not access to emergency care. It is the complete absence of a long-term, proactive, personalised health relationship. That product does not exist in Norway. This practice creates it.</w:t>
      </w:r>
    </w:p>
    <w:p/>
    <w:p>
      <w:pPr>
        <w:pStyle w:val="Heading2"/>
      </w:pPr>
      <w:r>
        <w:t>2.2  Target Market</w:t>
      </w:r>
    </w:p>
    <w:p>
      <w:pPr/>
      <w:r>
        <w:t>Din Personlige Helsesjef serves two complementary segments — both underserved by the Norwegian public system, and both willing to pay for the service they deserve.</w:t>
      </w:r>
    </w:p>
    <w:p>
      <w:pPr/>
    </w:p>
    <w:p>
      <w:pPr>
        <w:pStyle w:val="Heading3"/>
      </w:pPr>
      <w:r>
        <w:t>Primary Segment — The Optimisers</w:t>
      </w:r>
    </w:p>
    <w:p>
      <w:pPr/>
      <w:r>
        <w:t>The ideal primary member is 38–58, earning NOK 2M+ household income, already investing in premium wellness, and frustrated by a system that treats them as one of 1,100 patients. These are executives who apply rigour to every corner of their professional lives — except their health, which gets a 10-minute appointment every few years.</w:t>
      </w:r>
    </w:p>
    <w:p>
      <w:pPr>
        <w:pStyle w:val="ListBullet"/>
      </w:pPr>
      <w:r>
        <w:t>Partners and senior associates at Oslo law, finance, and consulting firms</w:t>
      </w:r>
    </w:p>
    <w:p>
      <w:pPr>
        <w:pStyle w:val="ListBullet"/>
      </w:pPr>
      <w:r>
        <w:t>C-suite and senior executives at Equinor, DNB, Statkraft, Kongsberg, Aker, and comparable companies</w:t>
      </w:r>
    </w:p>
    <w:p>
      <w:pPr>
        <w:pStyle w:val="ListBullet"/>
      </w:pPr>
      <w:r>
        <w:t>Senior management at PE/VC funds and Oslo-based family offices</w:t>
      </w:r>
    </w:p>
    <w:p>
      <w:pPr>
        <w:pStyle w:val="ListBullet"/>
      </w:pPr>
      <w:r>
        <w:t>Successful founders and tech entrepreneurs</w:t>
      </w:r>
    </w:p>
    <w:p>
      <w:pPr>
        <w:pStyle w:val="ListBullet"/>
      </w:pPr>
      <w:r>
        <w:t>High-income expats in senior Oslo roles</w:t>
      </w:r>
    </w:p>
    <w:p>
      <w:pPr>
        <w:pStyle w:val="ListBullet"/>
      </w:pPr>
      <w:r>
        <w:t>Professionals already spending on Oura rings, nutritionists, and personal trainers</w:t>
      </w:r>
    </w:p>
    <w:p>
      <w:pPr/>
    </w:p>
    <w:p>
      <w:pPr>
        <w:pStyle w:val="Heading3"/>
      </w:pPr>
      <w:r>
        <w:t>Secondary Segment — Reversal &amp; Management (60+)</w:t>
      </w:r>
    </w:p>
    <w:p>
      <w:pPr/>
      <w:r>
        <w:t>A significant and underserved secondary segment consists of individuals aged 60+ with existing health conditions — cardiovascular risk, metabolic syndrome, early-stage diabetes, or musculoskeletal issues. They are highly motivated to take control of their health and willing to pay for a physician who will genuinely engage with them over time.</w:t>
      </w:r>
    </w:p>
    <w:p>
      <w:pPr/>
      <w:r>
        <w:t>This dual-segment model is well-established in the most successful international concierge practices. The entry point differs; the product overlap is substantial.</w:t>
      </w:r>
    </w:p>
    <w:p>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Segment</w:t>
            </w:r>
          </w:p>
        </w:tc>
        <w:tc>
          <w:tcPr>
            <w:tcW w:type="dxa" w:w="1814"/>
          </w:tcPr>
          <w:p>
            <w:r>
              <w:rPr>
                <w:b/>
              </w:rPr>
              <w:t>Age Profile</w:t>
            </w:r>
          </w:p>
        </w:tc>
        <w:tc>
          <w:tcPr>
            <w:tcW w:type="dxa" w:w="1814"/>
          </w:tcPr>
          <w:p>
            <w:r>
              <w:rPr>
                <w:b/>
              </w:rPr>
              <w:t>Core Motivation</w:t>
            </w:r>
          </w:p>
        </w:tc>
        <w:tc>
          <w:tcPr>
            <w:tcW w:type="dxa" w:w="1814"/>
          </w:tcPr>
          <w:p>
            <w:r>
              <w:rPr>
                <w:b/>
              </w:rPr>
              <w:t>Entry Point</w:t>
            </w:r>
          </w:p>
        </w:tc>
        <w:tc>
          <w:tcPr>
            <w:tcW w:type="dxa" w:w="1814"/>
          </w:tcPr>
          <w:p>
            <w:r>
              <w:rPr>
                <w:b/>
              </w:rPr>
              <w:t>Monthly Investment</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t>Optimisers</w:t>
            </w:r>
          </w:p>
        </w:tc>
        <w:tc>
          <w:tcPr>
            <w:tcW w:type="dxa" w:w="1814"/>
          </w:tcPr>
          <w:p>
            <w:r>
              <w:t>38–58</w:t>
            </w:r>
          </w:p>
        </w:tc>
        <w:tc>
          <w:tcPr>
            <w:tcW w:type="dxa" w:w="1814"/>
          </w:tcPr>
          <w:p>
            <w:r>
              <w:t>Performance, longevity, proactive health management</w:t>
            </w:r>
          </w:p>
        </w:tc>
        <w:tc>
          <w:tcPr>
            <w:tcW w:type="dxa" w:w="1814"/>
          </w:tcPr>
          <w:p>
            <w:r>
              <w:t>Executive network, corporate benefits</w:t>
            </w:r>
          </w:p>
        </w:tc>
        <w:tc>
          <w:tcPr>
            <w:tcW w:type="dxa" w:w="1814"/>
          </w:tcPr>
          <w:p>
            <w:r>
              <w:t>NOK 5,000–10,000</w:t>
            </w:r>
          </w:p>
        </w:tc>
      </w:tr>
      <w:tr>
        <w:tc>
          <w:tcPr>
            <w:tcW w:type="dxa" w:w="1814"/>
          </w:tcPr>
          <w:p>
            <w:r>
              <w:t>Reversal &amp; Management</w:t>
            </w:r>
          </w:p>
        </w:tc>
        <w:tc>
          <w:tcPr>
            <w:tcW w:type="dxa" w:w="1814"/>
          </w:tcPr>
          <w:p>
            <w:r>
              <w:t>60+</w:t>
            </w:r>
          </w:p>
        </w:tc>
        <w:tc>
          <w:tcPr>
            <w:tcW w:type="dxa" w:w="1814"/>
          </w:tcPr>
          <w:p>
            <w:r>
              <w:t>Condition management, lifestyle change, peace of mind</w:t>
            </w:r>
          </w:p>
        </w:tc>
        <w:tc>
          <w:tcPr>
            <w:tcW w:type="dxa" w:w="1814"/>
          </w:tcPr>
          <w:p>
            <w:r>
              <w:t>GP referral, family recommendation</w:t>
            </w:r>
          </w:p>
        </w:tc>
        <w:tc>
          <w:tcPr>
            <w:tcW w:type="dxa" w:w="1814"/>
          </w:tcPr>
          <w:p>
            <w:r>
              <w:t>NOK 2,500–5,000</w:t>
            </w:r>
          </w:p>
        </w:tc>
      </w:tr>
    </w:tbl>
    <w:p>
      <w:pPr/>
      <w:r>
        <w:t>Both segments benefit from the same core offering: a physician who knows them, monitors their health continuously, and is available when it matters.</w:t>
      </w:r>
    </w:p>
    <w:p>
      <w:pPr/>
    </w:p>
    <w:p>
      <w:pPr>
        <w:pStyle w:val="Heading2"/>
      </w:pPr>
      <w:r>
        <w:t>2.3  Market Size</w:t>
      </w:r>
    </w:p>
    <w:p>
      <w:pPr/>
      <w:r>
        <w:t>Oslo has ~700,000 inhabitants. An estimated 15,000–25,000 fit the executive profile. Reaching 100 members represents less than 0.7% penetration — achievable through personal network outreach alone in Year 1.</w:t>
      </w:r>
    </w:p>
    <w:p>
      <w:pPr/>
    </w:p>
    <w:p>
      <w:pPr>
        <w:pStyle w:val="Heading2"/>
      </w:pPr>
      <w:r>
        <w:t>2.4  Competitive Landscape</w:t>
      </w:r>
    </w:p>
    <w:p>
      <w:pPr/>
      <w:r>
        <w:t>Medical Concierge is an established global category. Oslo is ready for its first dedicated practice. Adjacent players exist but none offer the combination of physician-led continuity and depth of relationship that defines true concierge medicine.</w:t>
      </w:r>
    </w:p>
    <w:p>
      <w:pPr/>
    </w:p>
    <w:p>
      <w:pPr>
        <w:pStyle w:val="Heading3"/>
      </w:pPr>
      <w:r>
        <w:t>Oslo Market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Provider</w:t>
            </w:r>
          </w:p>
        </w:tc>
        <w:tc>
          <w:tcPr>
            <w:tcW w:type="dxa" w:w="3024"/>
          </w:tcPr>
          <w:p>
            <w:r>
              <w:rPr>
                <w:b/>
              </w:rPr>
              <w:t>Model</w:t>
            </w:r>
          </w:p>
        </w:tc>
        <w:tc>
          <w:tcPr>
            <w:tcW w:type="dxa" w:w="3024"/>
          </w:tcPr>
          <w:p>
            <w:r>
              <w:rPr>
                <w:b/>
              </w:rPr>
              <w:t>Why It Falls Short</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Epivity</w:t>
            </w:r>
          </w:p>
        </w:tc>
        <w:tc>
          <w:tcPr>
            <w:tcW w:type="dxa" w:w="3024"/>
          </w:tcPr>
          <w:p>
            <w:r>
              <w:t>Digital health / corporate wellness</w:t>
            </w:r>
          </w:p>
        </w:tc>
        <w:tc>
          <w:tcPr>
            <w:tcW w:type="dxa" w:w="3024"/>
          </w:tcPr>
          <w:p>
            <w:r>
              <w:t>No ongoing physician relationship; not concierge medicine</w:t>
            </w:r>
          </w:p>
        </w:tc>
      </w:tr>
      <w:tr>
        <w:tc>
          <w:tcPr>
            <w:tcW w:type="dxa" w:w="3024"/>
          </w:tcPr>
          <w:p>
            <w:r>
              <w:t>Livity</w:t>
            </w:r>
          </w:p>
        </w:tc>
        <w:tc>
          <w:tcPr>
            <w:tcW w:type="dxa" w:w="3024"/>
          </w:tcPr>
          <w:p>
            <w:r>
              <w:t>Digital primary care app</w:t>
            </w:r>
          </w:p>
        </w:tc>
        <w:tc>
          <w:tcPr>
            <w:tcW w:type="dxa" w:w="3024"/>
          </w:tcPr>
          <w:p>
            <w:r>
              <w:t>Transactional; no depth or personalisation over time</w:t>
            </w:r>
          </w:p>
        </w:tc>
      </w:tr>
      <w:tr>
        <w:tc>
          <w:tcPr>
            <w:tcW w:type="dxa" w:w="3024"/>
          </w:tcPr>
          <w:p>
            <w:r>
              <w:t>Amino / Dr. Dropin</w:t>
            </w:r>
          </w:p>
        </w:tc>
        <w:tc>
          <w:tcPr>
            <w:tcW w:type="dxa" w:w="3024"/>
          </w:tcPr>
          <w:p>
            <w:r>
              <w:t>Walk-in private GP clinics</w:t>
            </w:r>
          </w:p>
        </w:tc>
        <w:tc>
          <w:tcPr>
            <w:tcW w:type="dxa" w:w="3024"/>
          </w:tcPr>
          <w:p>
            <w:r>
              <w:t>Volume-based; no member dossier or continuity of care</w:t>
            </w:r>
          </w:p>
        </w:tc>
      </w:tr>
      <w:tr>
        <w:tc>
          <w:tcPr>
            <w:tcW w:type="dxa" w:w="3024"/>
          </w:tcPr>
          <w:p>
            <w:r>
              <w:t>Aleris / Volvat</w:t>
            </w:r>
          </w:p>
        </w:tc>
        <w:tc>
          <w:tcPr>
            <w:tcW w:type="dxa" w:w="3024"/>
          </w:tcPr>
          <w:p>
            <w:r>
              <w:t>Private specialist clinics</w:t>
            </w:r>
          </w:p>
        </w:tc>
        <w:tc>
          <w:tcPr>
            <w:tcW w:type="dxa" w:w="3024"/>
          </w:tcPr>
          <w:p>
            <w:r>
              <w:t>Episodic, reactive care; no retainer or proactive monitoring</w:t>
            </w:r>
          </w:p>
        </w:tc>
      </w:tr>
      <w:tr>
        <w:tc>
          <w:tcPr>
            <w:tcW w:type="dxa" w:w="3024"/>
          </w:tcPr>
          <w:p>
            <w:r>
              <w:t>Coa / Nemo Health</w:t>
            </w:r>
          </w:p>
        </w:tc>
        <w:tc>
          <w:tcPr>
            <w:tcW w:type="dxa" w:w="3024"/>
          </w:tcPr>
          <w:p>
            <w:r>
              <w:t>Digital primary care (Nordic)</w:t>
            </w:r>
          </w:p>
        </w:tc>
        <w:tc>
          <w:tcPr>
            <w:tcW w:type="dxa" w:w="3024"/>
          </w:tcPr>
          <w:p>
            <w:r>
              <w:t>No back-office infrastructure; limited relationship depth</w:t>
            </w:r>
          </w:p>
        </w:tc>
      </w:tr>
    </w:tbl>
    <w:p>
      <w:pPr/>
    </w:p>
    <w:p>
      <w:pPr>
        <w:pStyle w:val="Heading3"/>
      </w:pPr>
      <w:r>
        <w:t>International Benchmarks</w:t>
      </w:r>
    </w:p>
    <w:p>
      <w:pPr/>
      <w:r>
        <w:t>Concierge medicine is proven and fast-growing globally — USD 20.5B in 2025, projected USD 44.3B by 2034. Oslo has comparable purchasing power to London and New York, where practices charging USD/GBP 5,000–10,000+/year carry multi-year waiting lists.</w:t>
      </w:r>
    </w:p>
    <w:p>
      <w:pP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Practice</w:t>
            </w:r>
          </w:p>
        </w:tc>
        <w:tc>
          <w:tcPr>
            <w:tcW w:type="dxa" w:w="2268"/>
          </w:tcPr>
          <w:p>
            <w:r>
              <w:rPr>
                <w:b/>
              </w:rPr>
              <w:t>Location</w:t>
            </w:r>
          </w:p>
        </w:tc>
        <w:tc>
          <w:tcPr>
            <w:tcW w:type="dxa" w:w="2268"/>
          </w:tcPr>
          <w:p>
            <w:r>
              <w:rPr>
                <w:b/>
              </w:rPr>
              <w:t>Annual Pricing</w:t>
            </w:r>
          </w:p>
        </w:tc>
        <w:tc>
          <w:tcPr>
            <w:tcW w:type="dxa" w:w="2268"/>
          </w:tcPr>
          <w:p>
            <w:r>
              <w:rPr>
                <w:b/>
              </w:rPr>
              <w:t>Key Insight</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t>MDVIP</w:t>
            </w:r>
          </w:p>
        </w:tc>
        <w:tc>
          <w:tcPr>
            <w:tcW w:type="dxa" w:w="2268"/>
          </w:tcPr>
          <w:p>
            <w:r>
              <w:t>USA</w:t>
            </w:r>
          </w:p>
        </w:tc>
        <w:tc>
          <w:tcPr>
            <w:tcW w:type="dxa" w:w="2268"/>
          </w:tcPr>
          <w:p>
            <w:r>
              <w:t>USD 1,800–3,000</w:t>
            </w:r>
          </w:p>
        </w:tc>
        <w:tc>
          <w:tcPr>
            <w:tcW w:type="dxa" w:w="2268"/>
          </w:tcPr>
          <w:p>
            <w:r>
              <w:t>Proven at scale — premium over public care</w:t>
            </w:r>
          </w:p>
        </w:tc>
      </w:tr>
      <w:tr>
        <w:tc>
          <w:tcPr>
            <w:tcW w:type="dxa" w:w="2268"/>
          </w:tcPr>
          <w:p>
            <w:r>
              <w:t>Parsley Health</w:t>
            </w:r>
          </w:p>
        </w:tc>
        <w:tc>
          <w:tcPr>
            <w:tcW w:type="dxa" w:w="2268"/>
          </w:tcPr>
          <w:p>
            <w:r>
              <w:t>USA / UK</w:t>
            </w:r>
          </w:p>
        </w:tc>
        <w:tc>
          <w:tcPr>
            <w:tcW w:type="dxa" w:w="2268"/>
          </w:tcPr>
          <w:p>
            <w:r>
              <w:t>USD 150–250/mo</w:t>
            </w:r>
          </w:p>
        </w:tc>
        <w:tc>
          <w:tcPr>
            <w:tcW w:type="dxa" w:w="2268"/>
          </w:tcPr>
          <w:p>
            <w:r>
              <w:t>Data-driven, preventive — closest analogue to Oslo model</w:t>
            </w:r>
          </w:p>
        </w:tc>
      </w:tr>
      <w:tr>
        <w:tc>
          <w:tcPr>
            <w:tcW w:type="dxa" w:w="2268"/>
          </w:tcPr>
          <w:p>
            <w:r>
              <w:t>PrivateDoc / Concierge GP</w:t>
            </w:r>
          </w:p>
        </w:tc>
        <w:tc>
          <w:tcPr>
            <w:tcW w:type="dxa" w:w="2268"/>
          </w:tcPr>
          <w:p>
            <w:r>
              <w:t>London</w:t>
            </w:r>
          </w:p>
        </w:tc>
        <w:tc>
          <w:tcPr>
            <w:tcW w:type="dxa" w:w="2268"/>
          </w:tcPr>
          <w:p>
            <w:r>
              <w:t>GBP 3,000–12,000</w:t>
            </w:r>
          </w:p>
        </w:tc>
        <w:tc>
          <w:tcPr>
            <w:tcW w:type="dxa" w:w="2268"/>
          </w:tcPr>
          <w:p>
            <w:r>
              <w:t>Boutique solo GP — closest structural parallel; multi-year waitlists</w:t>
            </w:r>
          </w:p>
        </w:tc>
      </w:tr>
      <w:tr>
        <w:tc>
          <w:tcPr>
            <w:tcW w:type="dxa" w:w="2268"/>
          </w:tcPr>
          <w:p>
            <w:r>
              <w:t>Lanserhof</w:t>
            </w:r>
          </w:p>
        </w:tc>
        <w:tc>
          <w:tcPr>
            <w:tcW w:type="dxa" w:w="2268"/>
          </w:tcPr>
          <w:p>
            <w:r>
              <w:t>Germany / Austria</w:t>
            </w:r>
          </w:p>
        </w:tc>
        <w:tc>
          <w:tcPr>
            <w:tcW w:type="dxa" w:w="2268"/>
          </w:tcPr>
          <w:p>
            <w:r>
              <w:t>EUR 500–1,500/day</w:t>
            </w:r>
          </w:p>
        </w:tc>
        <w:tc>
          <w:tcPr>
            <w:tcW w:type="dxa" w:w="2268"/>
          </w:tcPr>
          <w:p>
            <w:r>
              <w:t>Validates executive appetite for premium health investment</w:t>
            </w:r>
          </w:p>
        </w:tc>
      </w:tr>
      <w:tr>
        <w:tc>
          <w:tcPr>
            <w:tcW w:type="dxa" w:w="2268"/>
          </w:tcPr>
          <w:p>
            <w:r>
              <w:t>Coa / Nemo Health</w:t>
            </w:r>
          </w:p>
        </w:tc>
        <w:tc>
          <w:tcPr>
            <w:tcW w:type="dxa" w:w="2268"/>
          </w:tcPr>
          <w:p>
            <w:r>
              <w:t>Scandinavia</w:t>
            </w:r>
          </w:p>
        </w:tc>
        <w:tc>
          <w:tcPr>
            <w:tcW w:type="dxa" w:w="2268"/>
          </w:tcPr>
          <w:p>
            <w:r>
              <w:t>NOK 600–1,500/mo</w:t>
            </w:r>
          </w:p>
        </w:tc>
        <w:tc>
          <w:tcPr>
            <w:tcW w:type="dxa" w:w="2268"/>
          </w:tcPr>
          <w:p>
            <w:r>
              <w:t>Proves Norwegian willingness to pay</w:t>
            </w:r>
          </w:p>
        </w:tc>
      </w:tr>
    </w:tbl>
    <w:p>
      <w:pPr/>
      <w:r>
        <w:t>Key insight: The most successful international concierge practices compete on depth of relationship, not price. Oslo has the purchasing power, the demand, and no equivalent product.</w:t>
      </w:r>
    </w:p>
    <w:p>
      <w:pPr/>
    </w:p>
    <w:p>
      <w:pPr>
        <w:pStyle w:val="Heading1"/>
      </w:pPr>
      <w:r>
        <w:rPr>
          <w:rFonts w:ascii="Calibri" w:hAnsi="Calibri"/>
          <w:color w:val="1A1A1A"/>
        </w:rPr>
        <w:t>3. The Service Model</w:t>
      </w:r>
    </w:p>
    <w:p>
      <w:pPr>
        <w:pStyle w:val="Heading2"/>
      </w:pPr>
      <w:r>
        <w:rPr>
          <w:rFonts w:ascii="Calibri" w:hAnsi="Calibri"/>
          <w:color w:val="1A1A1A"/>
        </w:rPr>
        <w:t>3.1  Membership Tiers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Feature</w:t>
            </w:r>
          </w:p>
        </w:tc>
        <w:tc>
          <w:tcPr>
            <w:tcW w:type="dxa" w:w="2268"/>
          </w:tcPr>
          <w:p>
            <w:r>
              <w:rPr>
                <w:rFonts w:ascii="Calibri" w:hAnsi="Calibri"/>
                <w:b/>
              </w:rPr>
              <w:t>Klienten — NOK 2,500/mo</w:t>
            </w:r>
          </w:p>
        </w:tc>
        <w:tc>
          <w:tcPr>
            <w:tcW w:type="dxa" w:w="2268"/>
          </w:tcPr>
          <w:p>
            <w:r>
              <w:rPr>
                <w:rFonts w:ascii="Calibri" w:hAnsi="Calibri"/>
                <w:b/>
              </w:rPr>
              <w:t>Partneren — NOK 5,000/mo</w:t>
            </w:r>
          </w:p>
        </w:tc>
        <w:tc>
          <w:tcPr>
            <w:tcW w:type="dxa" w:w="2268"/>
          </w:tcPr>
          <w:p>
            <w:r>
              <w:rPr>
                <w:rFonts w:ascii="Calibri" w:hAnsi="Calibri"/>
                <w:b/>
              </w:rPr>
              <w:t>Partneren Pro — NOK 10,000/mo</w:t>
            </w:r>
          </w:p>
        </w:tc>
      </w:tr>
      <w:tr>
        <w:tc>
          <w:tcPr>
            <w:tcW w:type="dxa" w:w="2268"/>
          </w:tcPr>
          <w:p>
            <w:r>
              <w:rPr>
                <w:rFonts w:ascii="Calibri" w:hAnsi="Calibri"/>
              </w:rPr>
              <w:t>Annual health assessment</w:t>
            </w:r>
          </w:p>
        </w:tc>
        <w:tc>
          <w:tcPr>
            <w:tcW w:type="dxa" w:w="2268"/>
          </w:tcPr>
          <w:p>
            <w:r>
              <w:rPr>
                <w:rFonts w:ascii="Calibri" w:hAnsi="Calibri"/>
              </w:rPr>
              <w:t>2 hours</w:t>
            </w:r>
          </w:p>
        </w:tc>
        <w:tc>
          <w:tcPr>
            <w:tcW w:type="dxa" w:w="2268"/>
          </w:tcPr>
          <w:p>
            <w:r>
              <w:rPr>
                <w:rFonts w:ascii="Calibri" w:hAnsi="Calibri"/>
              </w:rPr>
              <w:t>2 hours + advanced labs</w:t>
            </w:r>
          </w:p>
        </w:tc>
        <w:tc>
          <w:tcPr>
            <w:tcW w:type="dxa" w:w="2268"/>
          </w:tcPr>
          <w:p>
            <w:r>
              <w:rPr>
                <w:rFonts w:ascii="Calibri" w:hAnsi="Calibri"/>
              </w:rPr>
              <w:t>3 hours + full longevity panel</w:t>
            </w:r>
          </w:p>
        </w:tc>
      </w:tr>
      <w:tr>
        <w:tc>
          <w:tcPr>
            <w:tcW w:type="dxa" w:w="2268"/>
          </w:tcPr>
          <w:p>
            <w:r>
              <w:rPr>
                <w:rFonts w:ascii="Calibri" w:hAnsi="Calibri"/>
              </w:rPr>
              <w:t>Follow-up consultations</w:t>
            </w:r>
          </w:p>
        </w:tc>
        <w:tc>
          <w:tcPr>
            <w:tcW w:type="dxa" w:w="2268"/>
          </w:tcPr>
          <w:p>
            <w:r>
              <w:rPr>
                <w:rFonts w:ascii="Calibri" w:hAnsi="Calibri"/>
              </w:rPr>
              <w:t>Quarterly (4/year)</w:t>
            </w:r>
          </w:p>
        </w:tc>
        <w:tc>
          <w:tcPr>
            <w:tcW w:type="dxa" w:w="2268"/>
          </w:tcPr>
          <w:p>
            <w:r>
              <w:rPr>
                <w:rFonts w:ascii="Calibri" w:hAnsi="Calibri"/>
              </w:rPr>
              <w:t>Every 2 months (6/year)</w:t>
            </w:r>
          </w:p>
        </w:tc>
        <w:tc>
          <w:tcPr>
            <w:tcW w:type="dxa" w:w="2268"/>
          </w:tcPr>
          <w:p>
            <w:r>
              <w:rPr>
                <w:rFonts w:ascii="Calibri" w:hAnsi="Calibri"/>
              </w:rPr>
              <w:t>Monthly (12/year)</w:t>
            </w:r>
          </w:p>
        </w:tc>
      </w:tr>
      <w:tr>
        <w:tc>
          <w:tcPr>
            <w:tcW w:type="dxa" w:w="2268"/>
          </w:tcPr>
          <w:p>
            <w:r>
              <w:rPr>
                <w:rFonts w:ascii="Calibri" w:hAnsi="Calibri"/>
              </w:rPr>
              <w:t>Messaging access</w:t>
            </w:r>
          </w:p>
        </w:tc>
        <w:tc>
          <w:tcPr>
            <w:tcW w:type="dxa" w:w="2268"/>
          </w:tcPr>
          <w:p>
            <w:r>
              <w:rPr>
                <w:rFonts w:ascii="Calibri" w:hAnsi="Calibri"/>
              </w:rPr>
              <w:t>WhatsApp, same-day reply</w:t>
            </w:r>
          </w:p>
        </w:tc>
        <w:tc>
          <w:tcPr>
            <w:tcW w:type="dxa" w:w="2268"/>
          </w:tcPr>
          <w:p>
            <w:r>
              <w:rPr>
                <w:rFonts w:ascii="Calibri" w:hAnsi="Calibri"/>
              </w:rPr>
              <w:t>WhatsApp + direct mobile</w:t>
            </w:r>
          </w:p>
        </w:tc>
        <w:tc>
          <w:tcPr>
            <w:tcW w:type="dxa" w:w="2268"/>
          </w:tcPr>
          <w:p>
            <w:r>
              <w:rPr>
                <w:rFonts w:ascii="Calibri" w:hAnsi="Calibri"/>
              </w:rPr>
              <w:t>Unlimited calls + messages</w:t>
            </w:r>
          </w:p>
        </w:tc>
      </w:tr>
      <w:tr>
        <w:tc>
          <w:tcPr>
            <w:tcW w:type="dxa" w:w="2268"/>
          </w:tcPr>
          <w:p>
            <w:r>
              <w:rPr>
                <w:rFonts w:ascii="Calibri" w:hAnsi="Calibri"/>
              </w:rPr>
              <w:t>Appointment guarantee</w:t>
            </w:r>
          </w:p>
        </w:tc>
        <w:tc>
          <w:tcPr>
            <w:tcW w:type="dxa" w:w="2268"/>
          </w:tcPr>
          <w:p>
            <w:r>
              <w:rPr>
                <w:rFonts w:ascii="Calibri" w:hAnsi="Calibri"/>
              </w:rPr>
              <w:t>Same week</w:t>
            </w:r>
          </w:p>
        </w:tc>
        <w:tc>
          <w:tcPr>
            <w:tcW w:type="dxa" w:w="2268"/>
          </w:tcPr>
          <w:p>
            <w:r>
              <w:rPr>
                <w:rFonts w:ascii="Calibri" w:hAnsi="Calibri"/>
              </w:rPr>
              <w:t>Same day (urgent)</w:t>
            </w:r>
          </w:p>
        </w:tc>
        <w:tc>
          <w:tcPr>
            <w:tcW w:type="dxa" w:w="2268"/>
          </w:tcPr>
          <w:p>
            <w:r>
              <w:rPr>
                <w:rFonts w:ascii="Calibri" w:hAnsi="Calibri"/>
              </w:rPr>
              <w:t>Same day always</w:t>
            </w:r>
          </w:p>
        </w:tc>
      </w:tr>
      <w:tr>
        <w:tc>
          <w:tcPr>
            <w:tcW w:type="dxa" w:w="2268"/>
          </w:tcPr>
          <w:p>
            <w:r>
              <w:rPr>
                <w:rFonts w:ascii="Calibri" w:hAnsi="Calibri"/>
              </w:rPr>
              <w:t>Lab panel</w:t>
            </w:r>
          </w:p>
        </w:tc>
        <w:tc>
          <w:tcPr>
            <w:tcW w:type="dxa" w:w="2268"/>
          </w:tcPr>
          <w:p>
            <w:r>
              <w:rPr>
                <w:rFonts w:ascii="Calibri" w:hAnsi="Calibri"/>
              </w:rPr>
              <w:t>Standard annual</w:t>
            </w:r>
          </w:p>
        </w:tc>
        <w:tc>
          <w:tcPr>
            <w:tcW w:type="dxa" w:w="2268"/>
          </w:tcPr>
          <w:p>
            <w:r>
              <w:rPr>
                <w:rFonts w:ascii="Calibri" w:hAnsi="Calibri"/>
              </w:rPr>
              <w:t>Advanced metabolic + cardiovascular</w:t>
            </w:r>
          </w:p>
        </w:tc>
        <w:tc>
          <w:tcPr>
            <w:tcW w:type="dxa" w:w="2268"/>
          </w:tcPr>
          <w:p>
            <w:r>
              <w:rPr>
                <w:rFonts w:ascii="Calibri" w:hAnsi="Calibri"/>
              </w:rPr>
              <w:t>Full longevity panel incl. ApoB, GlycanAge</w:t>
            </w:r>
          </w:p>
        </w:tc>
      </w:tr>
      <w:tr>
        <w:tc>
          <w:tcPr>
            <w:tcW w:type="dxa" w:w="2268"/>
          </w:tcPr>
          <w:p>
            <w:r>
              <w:rPr>
                <w:rFonts w:ascii="Calibri" w:hAnsi="Calibri"/>
              </w:rPr>
              <w:t>Wearable integration</w:t>
            </w:r>
          </w:p>
        </w:tc>
        <w:tc>
          <w:tcPr>
            <w:tcW w:type="dxa" w:w="2268"/>
          </w:tcPr>
          <w:p>
            <w:r>
              <w:rPr>
                <w:rFonts w:ascii="Calibri" w:hAnsi="Calibri"/>
              </w:rPr>
              <w:t>Optional</w:t>
            </w:r>
          </w:p>
        </w:tc>
        <w:tc>
          <w:tcPr>
            <w:tcW w:type="dxa" w:w="2268"/>
          </w:tcPr>
          <w:p>
            <w:r>
              <w:rPr>
                <w:rFonts w:ascii="Calibri" w:hAnsi="Calibri"/>
              </w:rPr>
              <w:t>Included (Oura/Garmin/Apple)</w:t>
            </w:r>
          </w:p>
        </w:tc>
        <w:tc>
          <w:tcPr>
            <w:tcW w:type="dxa" w:w="2268"/>
          </w:tcPr>
          <w:p>
            <w:r>
              <w:rPr>
                <w:rFonts w:ascii="Calibri" w:hAnsi="Calibri"/>
              </w:rPr>
              <w:t>Included + monthly analysis</w:t>
            </w:r>
          </w:p>
        </w:tc>
      </w:tr>
      <w:tr>
        <w:tc>
          <w:tcPr>
            <w:tcW w:type="dxa" w:w="2268"/>
          </w:tcPr>
          <w:p>
            <w:r>
              <w:rPr>
                <w:rFonts w:ascii="Calibri" w:hAnsi="Calibri"/>
              </w:rPr>
              <w:t>AI health brief</w:t>
            </w:r>
          </w:p>
        </w:tc>
        <w:tc>
          <w:tcPr>
            <w:tcW w:type="dxa" w:w="2268"/>
          </w:tcPr>
          <w:p>
            <w:r>
              <w:rPr>
                <w:rFonts w:ascii="Calibri" w:hAnsi="Calibri"/>
              </w:rPr>
              <w:t>Quarterly summary</w:t>
            </w:r>
          </w:p>
        </w:tc>
        <w:tc>
          <w:tcPr>
            <w:tcW w:type="dxa" w:w="2268"/>
          </w:tcPr>
          <w:p>
            <w:r>
              <w:rPr>
                <w:rFonts w:ascii="Calibri" w:hAnsi="Calibri"/>
              </w:rPr>
              <w:t>Monthly personalised report</w:t>
            </w:r>
          </w:p>
        </w:tc>
        <w:tc>
          <w:tcPr>
            <w:tcW w:type="dxa" w:w="2268"/>
          </w:tcPr>
          <w:p>
            <w:r>
              <w:rPr>
                <w:rFonts w:ascii="Calibri" w:hAnsi="Calibri"/>
              </w:rPr>
              <w:t>Monthly + annual roadmap</w:t>
            </w:r>
          </w:p>
        </w:tc>
      </w:tr>
      <w:tr>
        <w:tc>
          <w:tcPr>
            <w:tcW w:type="dxa" w:w="2268"/>
          </w:tcPr>
          <w:p>
            <w:r>
              <w:rPr>
                <w:rFonts w:ascii="Calibri" w:hAnsi="Calibri"/>
              </w:rPr>
              <w:t>Supplement protocol</w:t>
            </w:r>
          </w:p>
        </w:tc>
        <w:tc>
          <w:tcPr>
            <w:tcW w:type="dxa" w:w="2268"/>
          </w:tcPr>
          <w:p>
            <w:r>
              <w:rPr>
                <w:rFonts w:ascii="Calibri" w:hAnsi="Calibri"/>
              </w:rPr>
              <w:t>On request</w:t>
            </w:r>
          </w:p>
        </w:tc>
        <w:tc>
          <w:tcPr>
            <w:tcW w:type="dxa" w:w="2268"/>
          </w:tcPr>
          <w:p>
            <w:r>
              <w:rPr>
                <w:rFonts w:ascii="Calibri" w:hAnsi="Calibri"/>
              </w:rPr>
              <w:t>Included, reviewed 2x/year</w:t>
            </w:r>
          </w:p>
        </w:tc>
        <w:tc>
          <w:tcPr>
            <w:tcW w:type="dxa" w:w="2268"/>
          </w:tcPr>
          <w:p>
            <w:r>
              <w:rPr>
                <w:rFonts w:ascii="Calibri" w:hAnsi="Calibri"/>
              </w:rPr>
              <w:t>Full protocol, quarterly review</w:t>
            </w:r>
          </w:p>
        </w:tc>
      </w:tr>
      <w:tr>
        <w:tc>
          <w:tcPr>
            <w:tcW w:type="dxa" w:w="2268"/>
          </w:tcPr>
          <w:p>
            <w:r>
              <w:rPr>
                <w:rFonts w:ascii="Calibri" w:hAnsi="Calibri"/>
              </w:rPr>
              <w:t>Home/office visit</w:t>
            </w:r>
          </w:p>
        </w:tc>
        <w:tc>
          <w:tcPr>
            <w:tcW w:type="dxa" w:w="2268"/>
          </w:tcPr>
          <w:p>
            <w:r>
              <w:rPr>
                <w:rFonts w:ascii="Calibri" w:hAnsi="Calibri"/>
              </w:rPr>
              <w:t>Not included</w:t>
            </w:r>
          </w:p>
        </w:tc>
        <w:tc>
          <w:tcPr>
            <w:tcW w:type="dxa" w:w="2268"/>
          </w:tcPr>
          <w:p>
            <w:r>
              <w:rPr>
                <w:rFonts w:ascii="Calibri" w:hAnsi="Calibri"/>
              </w:rPr>
              <w:t>1 per year</w:t>
            </w:r>
          </w:p>
        </w:tc>
        <w:tc>
          <w:tcPr>
            <w:tcW w:type="dxa" w:w="2268"/>
          </w:tcPr>
          <w:p>
            <w:r>
              <w:rPr>
                <w:rFonts w:ascii="Calibri" w:hAnsi="Calibri"/>
              </w:rPr>
              <w:t>Unlimited</w:t>
            </w:r>
          </w:p>
        </w:tc>
      </w:tr>
      <w:tr>
        <w:tc>
          <w:tcPr>
            <w:tcW w:type="dxa" w:w="2268"/>
          </w:tcPr>
          <w:p>
            <w:r>
              <w:rPr>
                <w:rFonts w:ascii="Calibri" w:hAnsi="Calibri"/>
              </w:rPr>
              <w:t>Travel medicine</w:t>
            </w:r>
          </w:p>
        </w:tc>
        <w:tc>
          <w:tcPr>
            <w:tcW w:type="dxa" w:w="2268"/>
          </w:tcPr>
          <w:p>
            <w:r>
              <w:rPr>
                <w:rFonts w:ascii="Calibri" w:hAnsi="Calibri"/>
              </w:rPr>
              <w:t>Standard advice</w:t>
            </w:r>
          </w:p>
        </w:tc>
        <w:tc>
          <w:tcPr>
            <w:tcW w:type="dxa" w:w="2268"/>
          </w:tcPr>
          <w:p>
            <w:r>
              <w:rPr>
                <w:rFonts w:ascii="Calibri" w:hAnsi="Calibri"/>
              </w:rPr>
              <w:t>Included</w:t>
            </w:r>
          </w:p>
        </w:tc>
        <w:tc>
          <w:tcPr>
            <w:tcW w:type="dxa" w:w="2268"/>
          </w:tcPr>
          <w:p>
            <w:r>
              <w:rPr>
                <w:rFonts w:ascii="Calibri" w:hAnsi="Calibri"/>
              </w:rPr>
              <w:t>Full remote support abroad</w:t>
            </w:r>
          </w:p>
        </w:tc>
      </w:tr>
      <w:tr>
        <w:tc>
          <w:tcPr>
            <w:tcW w:type="dxa" w:w="2268"/>
          </w:tcPr>
          <w:p>
            <w:r>
              <w:rPr>
                <w:rFonts w:ascii="Calibri" w:hAnsi="Calibri"/>
              </w:rPr>
              <w:t>Annual prepay discount</w:t>
            </w:r>
          </w:p>
        </w:tc>
        <w:tc>
          <w:tcPr>
            <w:tcW w:type="dxa" w:w="2268"/>
          </w:tcPr>
          <w:p>
            <w:r>
              <w:rPr>
                <w:rFonts w:ascii="Calibri" w:hAnsi="Calibri"/>
              </w:rPr>
              <w:t>10%</w:t>
            </w:r>
          </w:p>
        </w:tc>
        <w:tc>
          <w:tcPr>
            <w:tcW w:type="dxa" w:w="2268"/>
          </w:tcPr>
          <w:p>
            <w:r>
              <w:rPr>
                <w:rFonts w:ascii="Calibri" w:hAnsi="Calibri"/>
              </w:rPr>
              <w:t>10%</w:t>
            </w:r>
          </w:p>
        </w:tc>
        <w:tc>
          <w:tcPr>
            <w:tcW w:type="dxa" w:w="2268"/>
          </w:tcPr>
          <w:p>
            <w:r>
              <w:rPr>
                <w:rFonts w:ascii="Calibri" w:hAnsi="Calibri"/>
              </w:rPr>
              <w:t>10%</w:t>
            </w:r>
          </w:p>
        </w:tc>
      </w:tr>
      <w:tr>
        <w:tc>
          <w:tcPr>
            <w:tcW w:type="dxa" w:w="2268"/>
          </w:tcPr>
          <w:p>
            <w:r>
              <w:rPr>
                <w:rFonts w:ascii="Calibri" w:hAnsi="Calibri"/>
              </w:rPr>
              <w:t>Max panel members</w:t>
            </w:r>
          </w:p>
        </w:tc>
        <w:tc>
          <w:tcPr>
            <w:tcW w:type="dxa" w:w="2268"/>
          </w:tcPr>
          <w:p>
            <w:r>
              <w:rPr>
                <w:rFonts w:ascii="Calibri" w:hAnsi="Calibri"/>
              </w:rPr>
              <w:t>40</w:t>
            </w:r>
          </w:p>
        </w:tc>
        <w:tc>
          <w:tcPr>
            <w:tcW w:type="dxa" w:w="2268"/>
          </w:tcPr>
          <w:p>
            <w:r>
              <w:rPr>
                <w:rFonts w:ascii="Calibri" w:hAnsi="Calibri"/>
              </w:rPr>
              <w:t>40</w:t>
            </w:r>
          </w:p>
        </w:tc>
        <w:tc>
          <w:tcPr>
            <w:tcW w:type="dxa" w:w="2268"/>
          </w:tcPr>
          <w:p>
            <w:r>
              <w:rPr>
                <w:rFonts w:ascii="Calibri" w:hAnsi="Calibri"/>
              </w:rPr>
              <w:t>20</w:t>
            </w:r>
          </w:p>
        </w:tc>
      </w:tr>
    </w:tbl>
    <w:p/>
    <w:p>
      <w:pPr>
        <w:pStyle w:val="Heading2"/>
      </w:pPr>
      <w:r>
        <w:rPr>
          <w:rFonts w:ascii="Calibri" w:hAnsi="Calibri"/>
          <w:color w:val="1A1A1A"/>
        </w:rPr>
        <w:t>3.2  The Core Differentiator</w:t>
      </w:r>
    </w:p>
    <w:p>
      <w:r>
        <w:rPr>
          <w:rFonts w:ascii="Calibri" w:hAnsi="Calibri"/>
          <w:b w:val="0"/>
          <w:i w:val="0"/>
          <w:sz w:val="21"/>
        </w:rPr>
        <w:t>The differentiator is not speed of access — private Oslo clinics already offer that. The differentiator is continuity and depth. Every member has a living health dossier accumulating data across years. Every consultation builds on the last. The AI infrastructure means the physician arrives at every appointment already knowing what changed, what trends need attention, and what questions matter.</w:t>
      </w:r>
    </w:p>
    <w:p>
      <w:r>
        <w:rPr>
          <w:rFonts w:ascii="Calibri" w:hAnsi="Calibri"/>
          <w:b w:val="0"/>
          <w:i/>
          <w:sz w:val="21"/>
        </w:rPr>
        <w:t>Members do not feel like patients. They feel like they have a personal health director.</w:t>
      </w:r>
    </w:p>
    <w:p/>
    <w:p>
      <w:pPr>
        <w:pStyle w:val="Heading2"/>
      </w:pPr>
      <w:r>
        <w:rPr>
          <w:rFonts w:ascii="Calibri" w:hAnsi="Calibri"/>
          <w:color w:val="1A1A1A"/>
        </w:rPr>
        <w:t>3.3  The Annual Health Roadmap</w:t>
      </w:r>
    </w:p>
    <w:p>
      <w:r>
        <w:rPr>
          <w:rFonts w:ascii="Calibri" w:hAnsi="Calibri"/>
          <w:b w:val="0"/>
          <w:i w:val="0"/>
          <w:sz w:val="21"/>
        </w:rPr>
        <w:t>Every Tier 2 and Tier 3 member receives a 90-minute Annual Health Roadmap Review at their membership anniversary — reviewing progress, updating risk stratification, and setting measurable objectives for the coming year. This ritual creates a powerful retention anchor. International data from comparable practices shows 40% lower churn rates among members completing annual roadmap reviews.</w:t>
      </w:r>
    </w:p>
    <w:p>
      <w:r>
        <w:br w:type="page"/>
      </w:r>
    </w:p>
    <w:p>
      <w:pPr>
        <w:pStyle w:val="Heading2"/>
      </w:pPr>
      <w:r>
        <w:t>3.4  Scalable Business Model</w:t>
      </w:r>
    </w:p>
    <w:p>
      <w:pPr/>
      <w:r>
        <w:t>Din Personlige Helsesjef is designed to scale beyond the founding physician's direct hours — like a law firm, not a solo practitioner. The physician focuses on high-value clinical decisions and the member relationship. A nurse practitioner handles routine monitoring, procedure administration, and check-ins under physician oversight.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Staffing Model</w:t>
            </w:r>
          </w:p>
        </w:tc>
        <w:tc>
          <w:tcPr>
            <w:tcW w:type="dxa" w:w="3024"/>
          </w:tcPr>
          <w:p>
            <w:r>
              <w:rPr>
                <w:b/>
              </w:rPr>
              <w:t>Member Capacity</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Year 1 — Launch</w:t>
            </w:r>
          </w:p>
        </w:tc>
        <w:tc>
          <w:tcPr>
            <w:tcW w:type="dxa" w:w="3024"/>
          </w:tcPr>
          <w:p>
            <w:r>
              <w:t>Solo physician</w:t>
            </w:r>
          </w:p>
        </w:tc>
        <w:tc>
          <w:tcPr>
            <w:tcW w:type="dxa" w:w="3024"/>
          </w:tcPr>
          <w:p>
            <w:r>
              <w:t>50–75 members</w:t>
            </w:r>
          </w:p>
        </w:tc>
      </w:tr>
      <w:tr>
        <w:tc>
          <w:tcPr>
            <w:tcW w:type="dxa" w:w="3024"/>
          </w:tcPr>
          <w:p>
            <w:r>
              <w:t>Year 2 — Growth</w:t>
            </w:r>
          </w:p>
        </w:tc>
        <w:tc>
          <w:tcPr>
            <w:tcW w:type="dxa" w:w="3024"/>
          </w:tcPr>
          <w:p>
            <w:r>
              <w:t>+ Nurse practitioner under physician oversight</w:t>
            </w:r>
          </w:p>
        </w:tc>
        <w:tc>
          <w:tcPr>
            <w:tcW w:type="dxa" w:w="3024"/>
          </w:tcPr>
          <w:p>
            <w:r>
              <w:t>75–100 members</w:t>
            </w:r>
          </w:p>
        </w:tc>
      </w:tr>
      <w:tr>
        <w:tc>
          <w:tcPr>
            <w:tcW w:type="dxa" w:w="3024"/>
          </w:tcPr>
          <w:p>
            <w:r>
              <w:t>Year 3+ — Scale</w:t>
            </w:r>
          </w:p>
        </w:tc>
        <w:tc>
          <w:tcPr>
            <w:tcW w:type="dxa" w:w="3024"/>
          </w:tcPr>
          <w:p>
            <w:r>
              <w:t>+ Health coach + specialist referral partnerships</w:t>
            </w:r>
          </w:p>
        </w:tc>
        <w:tc>
          <w:tcPr>
            <w:tcW w:type="dxa" w:w="3024"/>
          </w:tcPr>
          <w:p>
            <w:r>
              <w:t>100+ members</w:t>
            </w:r>
          </w:p>
        </w:tc>
      </w:tr>
    </w:tbl>
    <w:p>
      <w:pPr/>
    </w:p>
    <w:p>
      <w:pPr>
        <w:pStyle w:val="Heading1"/>
      </w:pPr>
      <w:r>
        <w:t>4. Practice Operations &amp; Technology</w:t>
      </w:r>
    </w:p>
    <w:p>
      <w:pPr>
        <w:pStyle w:val="Heading2"/>
      </w:pPr>
      <w:r>
        <w:t>4.1  Back-Office Infrastructure</w:t>
      </w:r>
    </w:p>
    <w:p>
      <w:pPr/>
      <w:r>
        <w:t>Operating principle: The physician handles the relationship. The technology handles everything else — monitoring, documentation, lab processing, briefing preparation, and protocol management. It is never used for direct patient communication.</w:t>
      </w:r>
    </w:p>
    <w:p>
      <w:r>
        <w:t>The practice runs a sophisticated back-office infrastructure on dedicated local hardware. No patient data ever leaves the physician's premises — a structural GDPR guarantee and a genuine differentiator from large clinic groups whose data flows through third-party cloud systems.</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Component</w:t>
            </w:r>
          </w:p>
        </w:tc>
        <w:tc>
          <w:tcPr>
            <w:tcW w:type="dxa" w:w="4536"/>
          </w:tcPr>
          <w:p>
            <w:r>
              <w:rPr>
                <w:rFonts w:ascii="Calibri" w:hAnsi="Calibri"/>
                <w:b/>
              </w:rPr>
              <w:t>Specification</w:t>
            </w:r>
          </w:p>
        </w:tc>
      </w:tr>
      <w:tr>
        <w:tc>
          <w:tcPr>
            <w:tcW w:type="dxa" w:w="4536"/>
          </w:tcPr>
          <w:p>
            <w:r>
              <w:rPr>
                <w:rFonts w:ascii="Calibri" w:hAnsi="Calibri"/>
              </w:rPr>
              <w:t>Hardware</w:t>
            </w:r>
          </w:p>
        </w:tc>
        <w:tc>
          <w:tcPr>
            <w:tcW w:type="dxa" w:w="4536"/>
          </w:tcPr>
          <w:p>
            <w:r>
              <w:rPr>
                <w:rFonts w:ascii="Calibri" w:hAnsi="Calibri"/>
              </w:rPr>
              <w:t>Mac Mini M4 (current) → Mac Studio M5 Max 128GB (Year 2–3)</w:t>
            </w:r>
          </w:p>
        </w:tc>
      </w:tr>
      <w:tr>
        <w:tc>
          <w:tcPr>
            <w:tcW w:type="dxa" w:w="4536"/>
          </w:tcPr>
          <w:p>
            <w:r>
              <w:rPr>
                <w:rFonts w:ascii="Calibri" w:hAnsi="Calibri"/>
              </w:rPr>
              <w:t>Orchestration</w:t>
            </w:r>
          </w:p>
        </w:tc>
        <w:tc>
          <w:tcPr>
            <w:tcW w:type="dxa" w:w="4536"/>
          </w:tcPr>
          <w:p>
            <w:r>
              <w:rPr>
                <w:rFonts w:ascii="Calibri" w:hAnsi="Calibri"/>
              </w:rPr>
              <w:t>OpenClaw — local AI agent framework</w:t>
            </w:r>
          </w:p>
        </w:tc>
      </w:tr>
      <w:tr>
        <w:tc>
          <w:tcPr>
            <w:tcW w:type="dxa" w:w="4536"/>
          </w:tcPr>
          <w:p>
            <w:r>
              <w:rPr>
                <w:rFonts w:ascii="Calibri" w:hAnsi="Calibri"/>
              </w:rPr>
              <w:t>LLM Models</w:t>
            </w:r>
          </w:p>
        </w:tc>
        <w:tc>
          <w:tcPr>
            <w:tcW w:type="dxa" w:w="4536"/>
          </w:tcPr>
          <w:p>
            <w:r>
              <w:rPr>
                <w:rFonts w:ascii="Calibri" w:hAnsi="Calibri"/>
              </w:rPr>
              <w:t>Qwen 3.5 35B (local) for analysis; Claude Sonnet API for drafting (non-PII only)</w:t>
            </w:r>
          </w:p>
        </w:tc>
      </w:tr>
      <w:tr>
        <w:tc>
          <w:tcPr>
            <w:tcW w:type="dxa" w:w="4536"/>
          </w:tcPr>
          <w:p>
            <w:r>
              <w:rPr>
                <w:rFonts w:ascii="Calibri" w:hAnsi="Calibri"/>
              </w:rPr>
              <w:t>Knowledge Base</w:t>
            </w:r>
          </w:p>
        </w:tc>
        <w:tc>
          <w:tcPr>
            <w:tcW w:type="dxa" w:w="4536"/>
          </w:tcPr>
          <w:p>
            <w:r>
              <w:rPr>
                <w:rFonts w:ascii="Calibri" w:hAnsi="Calibri"/>
              </w:rPr>
              <w:t>Per-member RAG folders, markdown-structured, updated after every interaction</w:t>
            </w:r>
          </w:p>
        </w:tc>
      </w:tr>
      <w:tr>
        <w:tc>
          <w:tcPr>
            <w:tcW w:type="dxa" w:w="4536"/>
          </w:tcPr>
          <w:p>
            <w:r>
              <w:rPr>
                <w:rFonts w:ascii="Calibri" w:hAnsi="Calibri"/>
              </w:rPr>
              <w:t>Secure Access</w:t>
            </w:r>
          </w:p>
        </w:tc>
        <w:tc>
          <w:tcPr>
            <w:tcW w:type="dxa" w:w="4536"/>
          </w:tcPr>
          <w:p>
            <w:r>
              <w:rPr>
                <w:rFonts w:ascii="Calibri" w:hAnsi="Calibri"/>
              </w:rPr>
              <w:t>Cloudflare Tunnel — encrypted remote access</w:t>
            </w:r>
          </w:p>
        </w:tc>
      </w:tr>
      <w:tr>
        <w:tc>
          <w:tcPr>
            <w:tcW w:type="dxa" w:w="4536"/>
          </w:tcPr>
          <w:p>
            <w:r>
              <w:rPr>
                <w:rFonts w:ascii="Calibri" w:hAnsi="Calibri"/>
              </w:rPr>
              <w:t>Communication</w:t>
            </w:r>
          </w:p>
        </w:tc>
        <w:tc>
          <w:tcPr>
            <w:tcW w:type="dxa" w:w="4536"/>
          </w:tcPr>
          <w:p>
            <w:r>
              <w:rPr>
                <w:rFonts w:ascii="Calibri" w:hAnsi="Calibri"/>
              </w:rPr>
              <w:t>Signal/WhatsApp — end-to-end encrypted member messaging</w:t>
            </w:r>
          </w:p>
        </w:tc>
      </w:tr>
      <w:tr>
        <w:tc>
          <w:tcPr>
            <w:tcW w:type="dxa" w:w="4536"/>
          </w:tcPr>
          <w:p>
            <w:r>
              <w:rPr>
                <w:rFonts w:ascii="Calibri" w:hAnsi="Calibri"/>
              </w:rPr>
              <w:t>Lab Integration</w:t>
            </w:r>
          </w:p>
        </w:tc>
        <w:tc>
          <w:tcPr>
            <w:tcW w:type="dxa" w:w="4536"/>
          </w:tcPr>
          <w:p>
            <w:r>
              <w:rPr>
                <w:rFonts w:ascii="Calibri" w:hAnsi="Calibri"/>
              </w:rPr>
              <w:t>PDF ingestion pipeline → structured JSON → member dossier</w:t>
            </w:r>
          </w:p>
        </w:tc>
      </w:tr>
      <w:tr>
        <w:tc>
          <w:tcPr>
            <w:tcW w:type="dxa" w:w="4536"/>
          </w:tcPr>
          <w:p>
            <w:r>
              <w:rPr>
                <w:rFonts w:ascii="Calibri" w:hAnsi="Calibri"/>
              </w:rPr>
              <w:t>Wearable Pipeline</w:t>
            </w:r>
          </w:p>
        </w:tc>
        <w:tc>
          <w:tcPr>
            <w:tcW w:type="dxa" w:w="4536"/>
          </w:tcPr>
          <w:p>
            <w:r>
              <w:rPr>
                <w:rFonts w:ascii="Calibri" w:hAnsi="Calibri"/>
              </w:rPr>
              <w:t>Garmin/Oura/Apple Health → weekly structured summaries</w:t>
            </w:r>
          </w:p>
        </w:tc>
      </w:tr>
      <w:tr>
        <w:tc>
          <w:tcPr>
            <w:tcW w:type="dxa" w:w="4536"/>
          </w:tcPr>
          <w:p>
            <w:r>
              <w:rPr>
                <w:rFonts w:ascii="Calibri" w:hAnsi="Calibri"/>
              </w:rPr>
              <w:t>Billing</w:t>
            </w:r>
          </w:p>
        </w:tc>
        <w:tc>
          <w:tcPr>
            <w:tcW w:type="dxa" w:w="4536"/>
          </w:tcPr>
          <w:p>
            <w:r>
              <w:rPr>
                <w:rFonts w:ascii="Calibri" w:hAnsi="Calibri"/>
              </w:rPr>
              <w:t>Stripe or Vipps recurring membership payments</w:t>
            </w:r>
          </w:p>
        </w:tc>
      </w:tr>
    </w:tbl>
    <w:p/>
    <w:p>
      <w:pPr>
        <w:pStyle w:val="Heading2"/>
      </w:pPr>
      <w:r>
        <w:t>4.2  The Five Back-Office Workflows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Agent</w:t>
            </w:r>
          </w:p>
        </w:tc>
        <w:tc>
          <w:tcPr>
            <w:tcW w:type="dxa" w:w="3024"/>
          </w:tcPr>
          <w:p>
            <w:r>
              <w:rPr>
                <w:rFonts w:ascii="Calibri" w:hAnsi="Calibri"/>
                <w:b/>
              </w:rPr>
              <w:t>Trigger</w:t>
            </w:r>
          </w:p>
        </w:tc>
        <w:tc>
          <w:tcPr>
            <w:tcW w:type="dxa" w:w="3024"/>
          </w:tcPr>
          <w:p>
            <w:r>
              <w:rPr>
                <w:rFonts w:ascii="Calibri" w:hAnsi="Calibri"/>
                <w:b/>
              </w:rPr>
              <w:t>Function</w:t>
            </w:r>
          </w:p>
        </w:tc>
      </w:tr>
      <w:tr>
        <w:tc>
          <w:tcPr>
            <w:tcW w:type="dxa" w:w="3024"/>
          </w:tcPr>
          <w:p>
            <w:r>
              <w:rPr>
                <w:rFonts w:ascii="Calibri" w:hAnsi="Calibri"/>
              </w:rPr>
              <w:t>Nightly Monitor</w:t>
            </w:r>
          </w:p>
        </w:tc>
        <w:tc>
          <w:tcPr>
            <w:tcW w:type="dxa" w:w="3024"/>
          </w:tcPr>
          <w:p>
            <w:r>
              <w:rPr>
                <w:rFonts w:ascii="Calibri" w:hAnsi="Calibri"/>
              </w:rPr>
              <w:t>02:00 daily</w:t>
            </w:r>
          </w:p>
        </w:tc>
        <w:tc>
          <w:tcPr>
            <w:tcW w:type="dxa" w:w="3024"/>
          </w:tcPr>
          <w:p>
            <w:r>
              <w:rPr>
                <w:rFonts w:ascii="Calibri" w:hAnsi="Calibri"/>
              </w:rPr>
              <w:t>Reads all member dossiers, flags anomalies vs. personal baselines, generates morning briefing</w:t>
            </w:r>
          </w:p>
        </w:tc>
      </w:tr>
      <w:tr>
        <w:tc>
          <w:tcPr>
            <w:tcW w:type="dxa" w:w="3024"/>
          </w:tcPr>
          <w:p>
            <w:r>
              <w:rPr>
                <w:rFonts w:ascii="Calibri" w:hAnsi="Calibri"/>
              </w:rPr>
              <w:t>Pre-Consultation Briefer</w:t>
            </w:r>
          </w:p>
        </w:tc>
        <w:tc>
          <w:tcPr>
            <w:tcW w:type="dxa" w:w="3024"/>
          </w:tcPr>
          <w:p>
            <w:r>
              <w:rPr>
                <w:rFonts w:ascii="Calibri" w:hAnsi="Calibri"/>
              </w:rPr>
              <w:t>60 min before appointment</w:t>
            </w:r>
          </w:p>
        </w:tc>
        <w:tc>
          <w:tcPr>
            <w:tcW w:type="dxa" w:w="3024"/>
          </w:tcPr>
          <w:p>
            <w:r>
              <w:rPr>
                <w:rFonts w:ascii="Calibri" w:hAnsi="Calibri"/>
              </w:rPr>
              <w:t>Summarises changes since last consult, suggests consultation structure</w:t>
            </w:r>
          </w:p>
        </w:tc>
      </w:tr>
      <w:tr>
        <w:tc>
          <w:tcPr>
            <w:tcW w:type="dxa" w:w="3024"/>
          </w:tcPr>
          <w:p>
            <w:r>
              <w:rPr>
                <w:rFonts w:ascii="Calibri" w:hAnsi="Calibri"/>
              </w:rPr>
              <w:t>Lab Result Processor</w:t>
            </w:r>
          </w:p>
        </w:tc>
        <w:tc>
          <w:tcPr>
            <w:tcW w:type="dxa" w:w="3024"/>
          </w:tcPr>
          <w:p>
            <w:r>
              <w:rPr>
                <w:rFonts w:ascii="Calibri" w:hAnsi="Calibri"/>
              </w:rPr>
              <w:t>New PDF in lab folder</w:t>
            </w:r>
          </w:p>
        </w:tc>
        <w:tc>
          <w:tcPr>
            <w:tcW w:type="dxa" w:w="3024"/>
          </w:tcPr>
          <w:p>
            <w:r>
              <w:rPr>
                <w:rFonts w:ascii="Calibri" w:hAnsi="Calibri"/>
              </w:rPr>
              <w:t>Parses results, flags out-of-range values, drafts lay-language interpretation</w:t>
            </w:r>
          </w:p>
        </w:tc>
      </w:tr>
      <w:tr>
        <w:tc>
          <w:tcPr>
            <w:tcW w:type="dxa" w:w="3024"/>
          </w:tcPr>
          <w:p>
            <w:r>
              <w:rPr>
                <w:rFonts w:ascii="Calibri" w:hAnsi="Calibri"/>
              </w:rPr>
              <w:t>Monthly Health Brief</w:t>
            </w:r>
          </w:p>
        </w:tc>
        <w:tc>
          <w:tcPr>
            <w:tcW w:type="dxa" w:w="3024"/>
          </w:tcPr>
          <w:p>
            <w:r>
              <w:rPr>
                <w:rFonts w:ascii="Calibri" w:hAnsi="Calibri"/>
              </w:rPr>
              <w:t>1st of each month</w:t>
            </w:r>
          </w:p>
        </w:tc>
        <w:tc>
          <w:tcPr>
            <w:tcW w:type="dxa" w:w="3024"/>
          </w:tcPr>
          <w:p>
            <w:r>
              <w:rPr>
                <w:rFonts w:ascii="Calibri" w:hAnsi="Calibri"/>
              </w:rPr>
              <w:t>Synthesises wearable, consult, and messaging data into personalised health brief</w:t>
            </w:r>
          </w:p>
        </w:tc>
      </w:tr>
      <w:tr>
        <w:tc>
          <w:tcPr>
            <w:tcW w:type="dxa" w:w="3024"/>
          </w:tcPr>
          <w:p>
            <w:r>
              <w:rPr>
                <w:rFonts w:ascii="Calibri" w:hAnsi="Calibri"/>
              </w:rPr>
              <w:t>Protocol Reviewer</w:t>
            </w:r>
          </w:p>
        </w:tc>
        <w:tc>
          <w:tcPr>
            <w:tcW w:type="dxa" w:w="3024"/>
          </w:tcPr>
          <w:p>
            <w:r>
              <w:rPr>
                <w:rFonts w:ascii="Calibri" w:hAnsi="Calibri"/>
              </w:rPr>
              <w:t>Quarterly</w:t>
            </w:r>
          </w:p>
        </w:tc>
        <w:tc>
          <w:tcPr>
            <w:tcW w:type="dxa" w:w="3024"/>
          </w:tcPr>
          <w:p>
            <w:r>
              <w:rPr>
                <w:rFonts w:ascii="Calibri" w:hAnsi="Calibri"/>
              </w:rPr>
              <w:t>Reviews supplement/diet/exercise protocols against latest labs, flags adjustments</w:t>
            </w:r>
          </w:p>
        </w:tc>
      </w:tr>
    </w:tbl>
    <w:p>
      <w:r>
        <w:br w:type="page"/>
      </w:r>
    </w:p>
    <w:p>
      <w:pPr>
        <w:pStyle w:val="Heading1"/>
      </w:pPr>
      <w:r>
        <w:rPr>
          <w:rFonts w:ascii="Calibri" w:hAnsi="Calibri"/>
          <w:color w:val="1A1A1A"/>
        </w:rPr>
        <w:t>5. Financial Projections</w:t>
      </w:r>
    </w:p>
    <w:p>
      <w:pPr>
        <w:pStyle w:val="Heading2"/>
      </w:pPr>
      <w:r>
        <w:rPr>
          <w:rFonts w:ascii="Calibri" w:hAnsi="Calibri"/>
          <w:color w:val="1A1A1A"/>
        </w:rPr>
        <w:t>5.1  Revenue &amp; Net Income</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r>
          </w:p>
        </w:tc>
        <w:tc>
          <w:tcPr>
            <w:tcW w:type="dxa" w:w="1814"/>
          </w:tcPr>
          <w:p>
            <w:r>
              <w:rPr>
                <w:rFonts w:ascii="Calibri" w:hAnsi="Calibri"/>
                <w:b/>
              </w:rPr>
              <w:t>Year 1 (ramp)</w:t>
            </w:r>
          </w:p>
        </w:tc>
        <w:tc>
          <w:tcPr>
            <w:tcW w:type="dxa" w:w="1814"/>
          </w:tcPr>
          <w:p>
            <w:r>
              <w:rPr>
                <w:rFonts w:ascii="Calibri" w:hAnsi="Calibri"/>
                <w:b/>
              </w:rPr>
              <w:t>Year 2</w:t>
            </w:r>
          </w:p>
        </w:tc>
        <w:tc>
          <w:tcPr>
            <w:tcW w:type="dxa" w:w="1814"/>
          </w:tcPr>
          <w:p>
            <w:r>
              <w:rPr>
                <w:rFonts w:ascii="Calibri" w:hAnsi="Calibri"/>
                <w:b/>
              </w:rPr>
              <w:t>Year 3</w:t>
            </w:r>
          </w:p>
        </w:tc>
        <w:tc>
          <w:tcPr>
            <w:tcW w:type="dxa" w:w="1814"/>
          </w:tcPr>
          <w:p>
            <w:r>
              <w:rPr>
                <w:rFonts w:ascii="Calibri" w:hAnsi="Calibri"/>
                <w:b/>
              </w:rPr>
              <w:t>Full Capacity</w:t>
            </w:r>
          </w:p>
        </w:tc>
      </w:tr>
      <w:tr>
        <w:tc>
          <w:tcPr>
            <w:tcW w:type="dxa" w:w="1814"/>
          </w:tcPr>
          <w:p>
            <w:r>
              <w:rPr>
                <w:rFonts w:ascii="Calibri" w:hAnsi="Calibri"/>
              </w:rPr>
              <w:t>Members</w:t>
            </w:r>
          </w:p>
        </w:tc>
        <w:tc>
          <w:tcPr>
            <w:tcW w:type="dxa" w:w="1814"/>
          </w:tcPr>
          <w:p>
            <w:r>
              <w:rPr>
                <w:rFonts w:ascii="Calibri" w:hAnsi="Calibri"/>
              </w:rPr>
              <w:t>35–50</w:t>
            </w:r>
          </w:p>
        </w:tc>
        <w:tc>
          <w:tcPr>
            <w:tcW w:type="dxa" w:w="1814"/>
          </w:tcPr>
          <w:p>
            <w:r>
              <w:rPr>
                <w:rFonts w:ascii="Calibri" w:hAnsi="Calibri"/>
              </w:rPr>
              <w:t>60–75</w:t>
            </w:r>
          </w:p>
        </w:tc>
        <w:tc>
          <w:tcPr>
            <w:tcW w:type="dxa" w:w="1814"/>
          </w:tcPr>
          <w:p>
            <w:r>
              <w:rPr>
                <w:rFonts w:ascii="Calibri" w:hAnsi="Calibri"/>
              </w:rPr>
              <w:t>80–100</w:t>
            </w:r>
          </w:p>
        </w:tc>
        <w:tc>
          <w:tcPr>
            <w:tcW w:type="dxa" w:w="1814"/>
          </w:tcPr>
          <w:p>
            <w:r>
              <w:rPr>
                <w:rFonts w:ascii="Calibri" w:hAnsi="Calibri"/>
              </w:rPr>
              <w:t>100</w:t>
            </w:r>
          </w:p>
        </w:tc>
      </w:tr>
      <w:tr>
        <w:tc>
          <w:tcPr>
            <w:tcW w:type="dxa" w:w="1814"/>
          </w:tcPr>
          <w:p>
            <w:r>
              <w:rPr>
                <w:rFonts w:ascii="Calibri" w:hAnsi="Calibri"/>
              </w:rPr>
              <w:t>Monthly Revenue</w:t>
            </w:r>
          </w:p>
        </w:tc>
        <w:tc>
          <w:tcPr>
            <w:tcW w:type="dxa" w:w="1814"/>
          </w:tcPr>
          <w:p>
            <w:r>
              <w:rPr>
                <w:rFonts w:ascii="Calibri" w:hAnsi="Calibri"/>
              </w:rPr>
              <w:t>NOK 175–250K</w:t>
            </w:r>
          </w:p>
        </w:tc>
        <w:tc>
          <w:tcPr>
            <w:tcW w:type="dxa" w:w="1814"/>
          </w:tcPr>
          <w:p>
            <w:r>
              <w:rPr>
                <w:rFonts w:ascii="Calibri" w:hAnsi="Calibri"/>
              </w:rPr>
              <w:t>NOK 350–450K</w:t>
            </w:r>
          </w:p>
        </w:tc>
        <w:tc>
          <w:tcPr>
            <w:tcW w:type="dxa" w:w="1814"/>
          </w:tcPr>
          <w:p>
            <w:r>
              <w:rPr>
                <w:rFonts w:ascii="Calibri" w:hAnsi="Calibri"/>
              </w:rPr>
              <w:t>NOK 450–500K</w:t>
            </w:r>
          </w:p>
        </w:tc>
        <w:tc>
          <w:tcPr>
            <w:tcW w:type="dxa" w:w="1814"/>
          </w:tcPr>
          <w:p>
            <w:r>
              <w:rPr>
                <w:rFonts w:ascii="Calibri" w:hAnsi="Calibri"/>
              </w:rPr>
              <w:t>NOK 500K</w:t>
            </w:r>
          </w:p>
        </w:tc>
      </w:tr>
      <w:tr>
        <w:tc>
          <w:tcPr>
            <w:tcW w:type="dxa" w:w="1814"/>
          </w:tcPr>
          <w:p>
            <w:r>
              <w:rPr>
                <w:rFonts w:ascii="Calibri" w:hAnsi="Calibri"/>
              </w:rPr>
              <w:t>Annual Revenue</w:t>
            </w:r>
          </w:p>
        </w:tc>
        <w:tc>
          <w:tcPr>
            <w:tcW w:type="dxa" w:w="1814"/>
          </w:tcPr>
          <w:p>
            <w:r>
              <w:rPr>
                <w:rFonts w:ascii="Calibri" w:hAnsi="Calibri"/>
              </w:rPr>
              <w:t>NOK 2.1–3.0M</w:t>
            </w:r>
          </w:p>
        </w:tc>
        <w:tc>
          <w:tcPr>
            <w:tcW w:type="dxa" w:w="1814"/>
          </w:tcPr>
          <w:p>
            <w:r>
              <w:rPr>
                <w:rFonts w:ascii="Calibri" w:hAnsi="Calibri"/>
              </w:rPr>
              <w:t>NOK 4.2–5.4M</w:t>
            </w:r>
          </w:p>
        </w:tc>
        <w:tc>
          <w:tcPr>
            <w:tcW w:type="dxa" w:w="1814"/>
          </w:tcPr>
          <w:p>
            <w:r>
              <w:rPr>
                <w:rFonts w:ascii="Calibri" w:hAnsi="Calibri"/>
              </w:rPr>
              <w:t>NOK 5.4–6.0M</w:t>
            </w:r>
          </w:p>
        </w:tc>
        <w:tc>
          <w:tcPr>
            <w:tcW w:type="dxa" w:w="1814"/>
          </w:tcPr>
          <w:p>
            <w:r>
              <w:rPr>
                <w:rFonts w:ascii="Calibri" w:hAnsi="Calibri"/>
              </w:rPr>
              <w:t>NOK 6.0M</w:t>
            </w:r>
          </w:p>
        </w:tc>
      </w:tr>
      <w:tr>
        <w:tc>
          <w:tcPr>
            <w:tcW w:type="dxa" w:w="1814"/>
          </w:tcPr>
          <w:p>
            <w:r>
              <w:rPr>
                <w:rFonts w:ascii="Calibri" w:hAnsi="Calibri"/>
              </w:rPr>
              <w:t>Estimated Net (70–80%)</w:t>
            </w:r>
          </w:p>
        </w:tc>
        <w:tc>
          <w:tcPr>
            <w:tcW w:type="dxa" w:w="1814"/>
          </w:tcPr>
          <w:p>
            <w:r>
              <w:rPr>
                <w:rFonts w:ascii="Calibri" w:hAnsi="Calibri"/>
              </w:rPr>
              <w:t>NOK 1.5–2.4M</w:t>
            </w:r>
          </w:p>
        </w:tc>
        <w:tc>
          <w:tcPr>
            <w:tcW w:type="dxa" w:w="1814"/>
          </w:tcPr>
          <w:p>
            <w:r>
              <w:rPr>
                <w:rFonts w:ascii="Calibri" w:hAnsi="Calibri"/>
              </w:rPr>
              <w:t>NOK 2.9–4.3M</w:t>
            </w:r>
          </w:p>
        </w:tc>
        <w:tc>
          <w:tcPr>
            <w:tcW w:type="dxa" w:w="1814"/>
          </w:tcPr>
          <w:p>
            <w:r>
              <w:rPr>
                <w:rFonts w:ascii="Calibri" w:hAnsi="Calibri"/>
              </w:rPr>
              <w:t>NOK 3.8–4.8M</w:t>
            </w:r>
          </w:p>
        </w:tc>
        <w:tc>
          <w:tcPr>
            <w:tcW w:type="dxa" w:w="1814"/>
          </w:tcPr>
          <w:p>
            <w:r>
              <w:rPr>
                <w:rFonts w:ascii="Calibri" w:hAnsi="Calibri"/>
              </w:rPr>
              <w:t>NOK 4.2–4.8M</w:t>
            </w:r>
          </w:p>
        </w:tc>
      </w:tr>
    </w:tbl>
    <w:p/>
    <w:p>
      <w:pPr>
        <w:jc w:val="center"/>
      </w:pPr>
      <w:r>
        <w:drawing>
          <wp:inline xmlns:a="http://schemas.openxmlformats.org/drawingml/2006/main" xmlns:pic="http://schemas.openxmlformats.org/drawingml/2006/picture">
            <wp:extent cx="5303520" cy="2608839"/>
            <wp:docPr id="1" name="Picture 1"/>
            <wp:cNvGraphicFramePr>
              <a:graphicFrameLocks noChangeAspect="1"/>
            </wp:cNvGraphicFramePr>
            <a:graphic>
              <a:graphicData uri="http://schemas.openxmlformats.org/drawingml/2006/picture">
                <pic:pic>
                  <pic:nvPicPr>
                    <pic:cNvPr id="0" name="chart1_revenue.png"/>
                    <pic:cNvPicPr/>
                  </pic:nvPicPr>
                  <pic:blipFill>
                    <a:blip r:embed="rId9"/>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1 — Annual Revenue &amp; Net Income by Year</w:t>
      </w:r>
    </w:p>
    <w:p/>
    <w:p>
      <w:pPr>
        <w:pStyle w:val="Heading2"/>
      </w:pPr>
      <w:r>
        <w:rPr>
          <w:rFonts w:ascii="Calibri" w:hAnsi="Calibri"/>
          <w:color w:val="1A1A1A"/>
        </w:rPr>
        <w:t>5.2  Member Growth Projection</w:t>
      </w:r>
    </w:p>
    <w:p>
      <w:pPr>
        <w:jc w:val="center"/>
      </w:pPr>
      <w:r>
        <w:drawing>
          <wp:inline xmlns:a="http://schemas.openxmlformats.org/drawingml/2006/main" xmlns:pic="http://schemas.openxmlformats.org/drawingml/2006/picture">
            <wp:extent cx="5303520" cy="2634798"/>
            <wp:docPr id="2" name="Picture 2"/>
            <wp:cNvGraphicFramePr>
              <a:graphicFrameLocks noChangeAspect="1"/>
            </wp:cNvGraphicFramePr>
            <a:graphic>
              <a:graphicData uri="http://schemas.openxmlformats.org/drawingml/2006/picture">
                <pic:pic>
                  <pic:nvPicPr>
                    <pic:cNvPr id="0" name="chart2_members.png"/>
                    <pic:cNvPicPr/>
                  </pic:nvPicPr>
                  <pic:blipFill>
                    <a:blip r:embed="rId10"/>
                    <a:stretch>
                      <a:fillRect/>
                    </a:stretch>
                  </pic:blipFill>
                  <pic:spPr>
                    <a:xfrm>
                      <a:off x="0" y="0"/>
                      <a:ext cx="5303520" cy="2634798"/>
                    </a:xfrm>
                    <a:prstGeom prst="rect"/>
                  </pic:spPr>
                </pic:pic>
              </a:graphicData>
            </a:graphic>
          </wp:inline>
        </w:drawing>
      </w:r>
    </w:p>
    <w:p>
      <w:pPr>
        <w:jc w:val="center"/>
      </w:pPr>
      <w:r>
        <w:rPr>
          <w:rFonts w:ascii="Calibri" w:hAnsi="Calibri"/>
          <w:b w:val="0"/>
          <w:i/>
          <w:color w:val="777777"/>
          <w:sz w:val="17"/>
        </w:rPr>
        <w:t>Figure 2 — Projected Member Growth with Break-Even Threshold</w:t>
      </w:r>
    </w:p>
    <w:p/>
    <w:p>
      <w:pPr>
        <w:pStyle w:val="Heading2"/>
      </w:pPr>
      <w:r>
        <w:rPr>
          <w:rFonts w:ascii="Calibri" w:hAnsi="Calibri"/>
          <w:color w:val="1A1A1A"/>
        </w:rPr>
        <w:t>5.3  Break-Even Analysis</w:t>
      </w:r>
    </w:p>
    <w:p>
      <w:pPr>
        <w:jc w:val="center"/>
      </w:pPr>
      <w:r>
        <w:drawing>
          <wp:inline xmlns:a="http://schemas.openxmlformats.org/drawingml/2006/main" xmlns:pic="http://schemas.openxmlformats.org/drawingml/2006/picture">
            <wp:extent cx="5303520" cy="2608839"/>
            <wp:docPr id="3" name="Picture 3"/>
            <wp:cNvGraphicFramePr>
              <a:graphicFrameLocks noChangeAspect="1"/>
            </wp:cNvGraphicFramePr>
            <a:graphic>
              <a:graphicData uri="http://schemas.openxmlformats.org/drawingml/2006/picture">
                <pic:pic>
                  <pic:nvPicPr>
                    <pic:cNvPr id="0" name="chart3_breakeven.png"/>
                    <pic:cNvPicPr/>
                  </pic:nvPicPr>
                  <pic:blipFill>
                    <a:blip r:embed="rId11"/>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3 — Monthly Revenue vs. Costs (Break-Even at ~12–15 members)</w:t>
      </w:r>
    </w:p>
    <w:p/>
    <w:p>
      <w:r>
        <w:rPr>
          <w:rFonts w:ascii="Calibri" w:hAnsi="Calibri"/>
          <w:b/>
          <w:i w:val="0"/>
          <w:sz w:val="21"/>
        </w:rPr>
        <w:t xml:space="preserve">Break-even point: </w:t>
      </w:r>
      <w:r>
        <w:rPr>
          <w:rFonts w:ascii="Calibri" w:hAnsi="Calibri"/>
          <w:b w:val="0"/>
          <w:i w:val="0"/>
          <w:sz w:val="21"/>
        </w:rPr>
        <w:t>15–18 members generating NOK 75,000–90,000/month vs. NOK 40,000–60,000/month costs</w:t>
      </w:r>
    </w:p>
    <w:p>
      <w:r>
        <w:rPr>
          <w:rFonts w:ascii="Calibri" w:hAnsi="Calibri"/>
          <w:b/>
          <w:i w:val="0"/>
          <w:sz w:val="21"/>
        </w:rPr>
        <w:t xml:space="preserve">Timeline to break-even: </w:t>
      </w:r>
      <w:r>
        <w:rPr>
          <w:rFonts w:ascii="Calibri" w:hAnsi="Calibri"/>
          <w:b w:val="0"/>
          <w:i w:val="0"/>
          <w:sz w:val="21"/>
        </w:rPr>
        <w:t>60–90 days from launch given existing professional network</w:t>
      </w:r>
    </w:p>
    <w:p>
      <w:r>
        <w:rPr>
          <w:rFonts w:ascii="Calibri" w:hAnsi="Calibri"/>
          <w:b/>
          <w:i w:val="0"/>
          <w:sz w:val="21"/>
        </w:rPr>
        <w:t xml:space="preserve">Payback on setup investment: </w:t>
      </w:r>
      <w:r>
        <w:rPr>
          <w:rFonts w:ascii="Calibri" w:hAnsi="Calibri"/>
          <w:b w:val="0"/>
          <w:i w:val="0"/>
          <w:sz w:val="21"/>
        </w:rPr>
        <w:t>Within 6–12 months at Tier 2 average pricing</w:t>
      </w:r>
    </w:p>
    <w:p/>
    <w:p>
      <w:pPr>
        <w:pStyle w:val="Heading2"/>
      </w:pPr>
      <w:r>
        <w:rPr>
          <w:rFonts w:ascii="Calibri" w:hAnsi="Calibri"/>
          <w:color w:val="1A1A1A"/>
        </w:rPr>
        <w:t>5.4  Revenue Mix by Tier</w:t>
      </w:r>
    </w:p>
    <w:p>
      <w:pPr>
        <w:jc w:val="center"/>
      </w:pPr>
      <w:r>
        <w:drawing>
          <wp:inline xmlns:a="http://schemas.openxmlformats.org/drawingml/2006/main" xmlns:pic="http://schemas.openxmlformats.org/drawingml/2006/picture">
            <wp:extent cx="5303520" cy="2616303"/>
            <wp:docPr id="4" name="Picture 4"/>
            <wp:cNvGraphicFramePr>
              <a:graphicFrameLocks noChangeAspect="1"/>
            </wp:cNvGraphicFramePr>
            <a:graphic>
              <a:graphicData uri="http://schemas.openxmlformats.org/drawingml/2006/picture">
                <pic:pic>
                  <pic:nvPicPr>
                    <pic:cNvPr id="0" name="chart4_tier_mix.png"/>
                    <pic:cNvPicPr/>
                  </pic:nvPicPr>
                  <pic:blipFill>
                    <a:blip r:embed="rId12"/>
                    <a:stretch>
                      <a:fillRect/>
                    </a:stretch>
                  </pic:blipFill>
                  <pic:spPr>
                    <a:xfrm>
                      <a:off x="0" y="0"/>
                      <a:ext cx="5303520" cy="2616303"/>
                    </a:xfrm>
                    <a:prstGeom prst="rect"/>
                  </pic:spPr>
                </pic:pic>
              </a:graphicData>
            </a:graphic>
          </wp:inline>
        </w:drawing>
      </w:r>
    </w:p>
    <w:p>
      <w:pPr>
        <w:jc w:val="center"/>
      </w:pPr>
      <w:r>
        <w:rPr>
          <w:rFonts w:ascii="Calibri" w:hAnsi="Calibri"/>
          <w:b w:val="0"/>
          <w:i/>
          <w:color w:val="777777"/>
          <w:sz w:val="17"/>
        </w:rPr>
        <w:t>Figure 4 — Annual Revenue by Membership Tier</w:t>
      </w:r>
    </w:p>
    <w:p/>
    <w:p>
      <w:pPr>
        <w:pStyle w:val="Heading2"/>
      </w:pPr>
      <w:r>
        <w:rPr>
          <w:rFonts w:ascii="Calibri" w:hAnsi="Calibri"/>
          <w:color w:val="1A1A1A"/>
        </w:rPr>
        <w:t>5.5  5-Year Financial Waterfall</w:t>
      </w:r>
    </w:p>
    <w:p>
      <w:pPr>
        <w:jc w:val="center"/>
      </w:pPr>
      <w:r>
        <w:drawing>
          <wp:inline xmlns:a="http://schemas.openxmlformats.org/drawingml/2006/main" xmlns:pic="http://schemas.openxmlformats.org/drawingml/2006/picture">
            <wp:extent cx="5303520" cy="2608839"/>
            <wp:docPr id="5" name="Picture 5"/>
            <wp:cNvGraphicFramePr>
              <a:graphicFrameLocks noChangeAspect="1"/>
            </wp:cNvGraphicFramePr>
            <a:graphic>
              <a:graphicData uri="http://schemas.openxmlformats.org/drawingml/2006/picture">
                <pic:pic>
                  <pic:nvPicPr>
                    <pic:cNvPr id="0" name="chart5_waterfall.png"/>
                    <pic:cNvPicPr/>
                  </pic:nvPicPr>
                  <pic:blipFill>
                    <a:blip r:embed="rId13"/>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5 — 5-Year Cumulative Net Income Waterfall (setup costs deducted)</w:t>
      </w:r>
    </w:p>
    <w:p/>
    <w:p>
      <w:pPr>
        <w:pStyle w:val="Heading2"/>
      </w:pPr>
      <w:r>
        <w:rPr>
          <w:rFonts w:ascii="Calibri" w:hAnsi="Calibri"/>
          <w:color w:val="1A1A1A"/>
        </w:rPr>
        <w:t>5.6  Cost Structure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Cost Item</w:t>
            </w:r>
          </w:p>
        </w:tc>
        <w:tc>
          <w:tcPr>
            <w:tcW w:type="dxa" w:w="3024"/>
          </w:tcPr>
          <w:p>
            <w:r>
              <w:rPr>
                <w:rFonts w:ascii="Calibri" w:hAnsi="Calibri"/>
                <w:b/>
              </w:rPr>
              <w:t>Monthly</w:t>
            </w:r>
          </w:p>
        </w:tc>
        <w:tc>
          <w:tcPr>
            <w:tcW w:type="dxa" w:w="3024"/>
          </w:tcPr>
          <w:p>
            <w:r>
              <w:rPr>
                <w:rFonts w:ascii="Calibri" w:hAnsi="Calibri"/>
                <w:b/>
              </w:rPr>
              <w:t>Annual</w:t>
            </w:r>
          </w:p>
        </w:tc>
      </w:tr>
      <w:tr>
        <w:tc>
          <w:tcPr>
            <w:tcW w:type="dxa" w:w="3024"/>
          </w:tcPr>
          <w:p>
            <w:r>
              <w:rPr>
                <w:rFonts w:ascii="Calibri" w:hAnsi="Calibri"/>
              </w:rPr>
              <w:t>Clinic room rental (Oslo centre)</w:t>
            </w:r>
          </w:p>
        </w:tc>
        <w:tc>
          <w:tcPr>
            <w:tcW w:type="dxa" w:w="3024"/>
          </w:tcPr>
          <w:p>
            <w:r>
              <w:rPr>
                <w:rFonts w:ascii="Calibri" w:hAnsi="Calibri"/>
              </w:rPr>
              <w:t>NOK 10,000–20,000</w:t>
            </w:r>
          </w:p>
        </w:tc>
        <w:tc>
          <w:tcPr>
            <w:tcW w:type="dxa" w:w="3024"/>
          </w:tcPr>
          <w:p>
            <w:r>
              <w:rPr>
                <w:rFonts w:ascii="Calibri" w:hAnsi="Calibri"/>
              </w:rPr>
              <w:t>NOK 120,000–240,000</w:t>
            </w:r>
          </w:p>
        </w:tc>
      </w:tr>
      <w:tr>
        <w:tc>
          <w:tcPr>
            <w:tcW w:type="dxa" w:w="3024"/>
          </w:tcPr>
          <w:p>
            <w:r>
              <w:rPr>
                <w:rFonts w:ascii="Calibri" w:hAnsi="Calibri"/>
              </w:rPr>
              <w:t>Lab costs</w:t>
            </w:r>
          </w:p>
        </w:tc>
        <w:tc>
          <w:tcPr>
            <w:tcW w:type="dxa" w:w="3024"/>
          </w:tcPr>
          <w:p>
            <w:r>
              <w:rPr>
                <w:rFonts w:ascii="Calibri" w:hAnsi="Calibri"/>
              </w:rPr>
              <w:t>NOK 5,000–15,000</w:t>
            </w:r>
          </w:p>
        </w:tc>
        <w:tc>
          <w:tcPr>
            <w:tcW w:type="dxa" w:w="3024"/>
          </w:tcPr>
          <w:p>
            <w:r>
              <w:rPr>
                <w:rFonts w:ascii="Calibri" w:hAnsi="Calibri"/>
              </w:rPr>
              <w:t>NOK 60,000–180,000</w:t>
            </w:r>
          </w:p>
        </w:tc>
      </w:tr>
      <w:tr>
        <w:tc>
          <w:tcPr>
            <w:tcW w:type="dxa" w:w="3024"/>
          </w:tcPr>
          <w:p>
            <w:r>
              <w:rPr>
                <w:rFonts w:ascii="Calibri" w:hAnsi="Calibri"/>
              </w:rPr>
              <w:t>OpenClaw / AI infrastructure</w:t>
            </w:r>
          </w:p>
        </w:tc>
        <w:tc>
          <w:tcPr>
            <w:tcW w:type="dxa" w:w="3024"/>
          </w:tcPr>
          <w:p>
            <w:r>
              <w:rPr>
                <w:rFonts w:ascii="Calibri" w:hAnsi="Calibri"/>
              </w:rPr>
              <w:t>NOK 1,000–2,000</w:t>
            </w:r>
          </w:p>
        </w:tc>
        <w:tc>
          <w:tcPr>
            <w:tcW w:type="dxa" w:w="3024"/>
          </w:tcPr>
          <w:p>
            <w:r>
              <w:rPr>
                <w:rFonts w:ascii="Calibri" w:hAnsi="Calibri"/>
              </w:rPr>
              <w:t>NOK 12,000–24,000</w:t>
            </w:r>
          </w:p>
        </w:tc>
      </w:tr>
      <w:tr>
        <w:tc>
          <w:tcPr>
            <w:tcW w:type="dxa" w:w="3024"/>
          </w:tcPr>
          <w:p>
            <w:r>
              <w:rPr>
                <w:rFonts w:ascii="Calibri" w:hAnsi="Calibri"/>
              </w:rPr>
              <w:t>EPJ system (EG Pasientsky)</w:t>
            </w:r>
          </w:p>
        </w:tc>
        <w:tc>
          <w:tcPr>
            <w:tcW w:type="dxa" w:w="3024"/>
          </w:tcPr>
          <w:p>
            <w:r>
              <w:rPr>
                <w:rFonts w:ascii="Calibri" w:hAnsi="Calibri"/>
              </w:rPr>
              <w:t>NOK 600–800</w:t>
            </w:r>
          </w:p>
        </w:tc>
        <w:tc>
          <w:tcPr>
            <w:tcW w:type="dxa" w:w="3024"/>
          </w:tcPr>
          <w:p>
            <w:r>
              <w:rPr>
                <w:rFonts w:ascii="Calibri" w:hAnsi="Calibri"/>
              </w:rPr>
              <w:t>NOK 7,200–9,600</w:t>
            </w:r>
          </w:p>
        </w:tc>
      </w:tr>
      <w:tr>
        <w:tc>
          <w:tcPr>
            <w:tcW w:type="dxa" w:w="3024"/>
          </w:tcPr>
          <w:p>
            <w:r>
              <w:rPr>
                <w:rFonts w:ascii="Calibri" w:hAnsi="Calibri"/>
              </w:rPr>
              <w:t>NPE contribution</w:t>
            </w:r>
          </w:p>
        </w:tc>
        <w:tc>
          <w:tcPr>
            <w:tcW w:type="dxa" w:w="3024"/>
          </w:tcPr>
          <w:p>
            <w:r>
              <w:rPr>
                <w:rFonts w:ascii="Calibri" w:hAnsi="Calibri"/>
              </w:rPr>
              <w:t>—</w:t>
            </w:r>
          </w:p>
        </w:tc>
        <w:tc>
          <w:tcPr>
            <w:tcW w:type="dxa" w:w="3024"/>
          </w:tcPr>
          <w:p>
            <w:r>
              <w:rPr>
                <w:rFonts w:ascii="Calibri" w:hAnsi="Calibri"/>
              </w:rPr>
              <w:t>NOK 1,000–2,500</w:t>
            </w:r>
          </w:p>
        </w:tc>
      </w:tr>
      <w:tr>
        <w:tc>
          <w:tcPr>
            <w:tcW w:type="dxa" w:w="3024"/>
          </w:tcPr>
          <w:p>
            <w:r>
              <w:rPr>
                <w:rFonts w:ascii="Calibri" w:hAnsi="Calibri"/>
              </w:rPr>
              <w:t>Professional liability insurance</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Accountant / legal</w:t>
            </w:r>
          </w:p>
        </w:tc>
        <w:tc>
          <w:tcPr>
            <w:tcW w:type="dxa" w:w="3024"/>
          </w:tcPr>
          <w:p>
            <w:r>
              <w:rPr>
                <w:rFonts w:ascii="Calibri" w:hAnsi="Calibri"/>
              </w:rPr>
              <w:t>—</w:t>
            </w:r>
          </w:p>
        </w:tc>
        <w:tc>
          <w:tcPr>
            <w:tcW w:type="dxa" w:w="3024"/>
          </w:tcPr>
          <w:p>
            <w:r>
              <w:rPr>
                <w:rFonts w:ascii="Calibri" w:hAnsi="Calibri"/>
              </w:rPr>
              <w:t>NOK 30,000–60,000</w:t>
            </w:r>
          </w:p>
        </w:tc>
      </w:tr>
      <w:tr>
        <w:tc>
          <w:tcPr>
            <w:tcW w:type="dxa" w:w="3024"/>
          </w:tcPr>
          <w:p>
            <w:r>
              <w:rPr>
                <w:rFonts w:ascii="Calibri" w:hAnsi="Calibri"/>
              </w:rPr>
              <w:t>Marketing and content</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Total (at full operation)</w:t>
            </w:r>
          </w:p>
        </w:tc>
        <w:tc>
          <w:tcPr>
            <w:tcW w:type="dxa" w:w="3024"/>
          </w:tcPr>
          <w:p>
            <w:r>
              <w:rPr>
                <w:rFonts w:ascii="Calibri" w:hAnsi="Calibri"/>
              </w:rPr>
              <w:t>NOK 40,000–80,000</w:t>
            </w:r>
          </w:p>
        </w:tc>
        <w:tc>
          <w:tcPr>
            <w:tcW w:type="dxa" w:w="3024"/>
          </w:tcPr>
          <w:p>
            <w:r>
              <w:rPr>
                <w:rFonts w:ascii="Calibri" w:hAnsi="Calibri"/>
              </w:rPr>
              <w:t>NOK 480,000–720,000</w:t>
            </w:r>
          </w:p>
        </w:tc>
      </w:tr>
    </w:tbl>
    <w:p/>
    <w:p>
      <w:pPr>
        <w:pStyle w:val="Heading2"/>
      </w:pPr>
      <w:r>
        <w:rPr>
          <w:rFonts w:ascii="Calibri" w:hAnsi="Calibri"/>
          <w:color w:val="1A1A1A"/>
        </w:rPr>
        <w:t>5.7  Tax Structure</w:t>
      </w:r>
    </w:p>
    <w:p>
      <w:r>
        <w:rPr>
          <w:rFonts w:ascii="Calibri" w:hAnsi="Calibri"/>
          <w:b w:val="0"/>
          <w:i w:val="0"/>
          <w:sz w:val="21"/>
        </w:rPr>
        <w:t>Register as AS (Aksjeselskap). Corporate tax rate 22%. Optimal structure: salary of NOK 700,000–900,000 with retained earnings compounding in the company. Dividends extracted at 37.84% effective rate. A skilled skatteadvokat can optimise this structure to be worth NOK 200,000–500,000/year in after-tax income.</w:t>
      </w:r>
    </w:p>
    <w:p>
      <w:r>
        <w:br w:type="page"/>
      </w:r>
    </w:p>
    <w:p>
      <w:pPr>
        <w:pStyle w:val="Heading1"/>
      </w:pPr>
      <w:r>
        <w:rPr>
          <w:rFonts w:ascii="Calibri" w:hAnsi="Calibri"/>
          <w:color w:val="1A1A1A"/>
        </w:rPr>
        <w:t>6. Marketing &amp; Customer Acquisition</w:t>
      </w:r>
    </w:p>
    <w:p>
      <w:pPr>
        <w:pStyle w:val="Heading2"/>
      </w:pPr>
      <w:r>
        <w:rPr>
          <w:rFonts w:ascii="Calibri" w:hAnsi="Calibri"/>
          <w:color w:val="1A1A1A"/>
        </w:rPr>
        <w:t>6.1  Core Positioning</w:t>
      </w:r>
    </w:p>
    <w:p>
      <w:pPr>
        <w:jc w:val="center"/>
      </w:pPr>
      <w:r>
        <w:rPr>
          <w:rFonts w:ascii="Calibri" w:hAnsi="Calibri"/>
          <w:b w:val="0"/>
          <w:i/>
          <w:color w:val="1A2E4A"/>
          <w:sz w:val="26"/>
        </w:rPr>
        <w:t>"Din personlige helsesjef — legen som faktisk kjenner deg."</w:t>
      </w:r>
    </w:p>
    <w:p/>
    <w:p>
      <w:r>
        <w:rPr>
          <w:rFonts w:ascii="Calibri" w:hAnsi="Calibri"/>
          <w:b w:val="0"/>
          <w:i w:val="0"/>
          <w:sz w:val="21"/>
        </w:rPr>
        <w:t>This is not a healthcare pitch. It is a relationship pitch. Oslo's most successful people are missing one thing their peers in London and New York increasingly have: a doctor who actually knows them. The physician who remembers their labs from three years ago, who messages when sleep data looks concerning, who treats health as an ongoing project — not a series of 10-minute appointments.</w:t>
      </w:r>
    </w:p>
    <w:p/>
    <w:p>
      <w:pPr>
        <w:pStyle w:val="Heading2"/>
      </w:pPr>
      <w:r>
        <w:rPr>
          <w:rFonts w:ascii="Calibri" w:hAnsi="Calibri"/>
          <w:color w:val="1A1A1A"/>
        </w:rPr>
        <w:t>6.2  Acquisition Channels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Channel</w:t>
            </w:r>
          </w:p>
        </w:tc>
        <w:tc>
          <w:tcPr>
            <w:tcW w:type="dxa" w:w="2268"/>
          </w:tcPr>
          <w:p>
            <w:r>
              <w:rPr>
                <w:rFonts w:ascii="Calibri" w:hAnsi="Calibri"/>
                <w:b/>
              </w:rPr>
              <w:t>Timeline</w:t>
            </w:r>
          </w:p>
        </w:tc>
        <w:tc>
          <w:tcPr>
            <w:tcW w:type="dxa" w:w="2268"/>
          </w:tcPr>
          <w:p>
            <w:r>
              <w:rPr>
                <w:rFonts w:ascii="Calibri" w:hAnsi="Calibri"/>
                <w:b/>
              </w:rPr>
              <w:t>Target</w:t>
            </w:r>
          </w:p>
        </w:tc>
        <w:tc>
          <w:tcPr>
            <w:tcW w:type="dxa" w:w="2268"/>
          </w:tcPr>
          <w:p>
            <w:r>
              <w:rPr>
                <w:rFonts w:ascii="Calibri" w:hAnsi="Calibri"/>
                <w:b/>
              </w:rPr>
              <w:t>ROI</w:t>
            </w:r>
          </w:p>
        </w:tc>
      </w:tr>
      <w:tr>
        <w:tc>
          <w:tcPr>
            <w:tcW w:type="dxa" w:w="2268"/>
          </w:tcPr>
          <w:p>
            <w:r>
              <w:rPr>
                <w:rFonts w:ascii="Calibri" w:hAnsi="Calibri"/>
              </w:rPr>
              <w:t>Personal network outreach</w:t>
            </w:r>
          </w:p>
        </w:tc>
        <w:tc>
          <w:tcPr>
            <w:tcW w:type="dxa" w:w="2268"/>
          </w:tcPr>
          <w:p>
            <w:r>
              <w:rPr>
                <w:rFonts w:ascii="Calibri" w:hAnsi="Calibri"/>
              </w:rPr>
              <w:t>Month 1–3</w:t>
            </w:r>
          </w:p>
        </w:tc>
        <w:tc>
          <w:tcPr>
            <w:tcW w:type="dxa" w:w="2268"/>
          </w:tcPr>
          <w:p>
            <w:r>
              <w:rPr>
                <w:rFonts w:ascii="Calibri" w:hAnsi="Calibri"/>
              </w:rPr>
              <w:t>10–15 founding members</w:t>
            </w:r>
          </w:p>
        </w:tc>
        <w:tc>
          <w:tcPr>
            <w:tcW w:type="dxa" w:w="2268"/>
          </w:tcPr>
          <w:p>
            <w:r>
              <w:rPr>
                <w:rFonts w:ascii="Calibri" w:hAnsi="Calibri"/>
              </w:rPr>
              <w:t>Highest — zero cost</w:t>
            </w:r>
          </w:p>
        </w:tc>
      </w:tr>
      <w:tr>
        <w:tc>
          <w:tcPr>
            <w:tcW w:type="dxa" w:w="2268"/>
          </w:tcPr>
          <w:p>
            <w:r>
              <w:rPr>
                <w:rFonts w:ascii="Calibri" w:hAnsi="Calibri"/>
              </w:rPr>
              <w:t>Executive Health Audit (NOK 15,000)</w:t>
            </w:r>
          </w:p>
        </w:tc>
        <w:tc>
          <w:tcPr>
            <w:tcW w:type="dxa" w:w="2268"/>
          </w:tcPr>
          <w:p>
            <w:r>
              <w:rPr>
                <w:rFonts w:ascii="Calibri" w:hAnsi="Calibri"/>
              </w:rPr>
              <w:t>Month 3+</w:t>
            </w:r>
          </w:p>
        </w:tc>
        <w:tc>
          <w:tcPr>
            <w:tcW w:type="dxa" w:w="2268"/>
          </w:tcPr>
          <w:p>
            <w:r>
              <w:rPr>
                <w:rFonts w:ascii="Calibri" w:hAnsi="Calibri"/>
              </w:rPr>
              <w:t>Corporate entry, ~40% convert to membership</w:t>
            </w:r>
          </w:p>
        </w:tc>
        <w:tc>
          <w:tcPr>
            <w:tcW w:type="dxa" w:w="2268"/>
          </w:tcPr>
          <w:p>
            <w:r>
              <w:rPr>
                <w:rFonts w:ascii="Calibri" w:hAnsi="Calibri"/>
              </w:rPr>
              <w:t>High — self-funding</w:t>
            </w:r>
          </w:p>
        </w:tc>
      </w:tr>
      <w:tr>
        <w:tc>
          <w:tcPr>
            <w:tcW w:type="dxa" w:w="2268"/>
          </w:tcPr>
          <w:p>
            <w:r>
              <w:rPr>
                <w:rFonts w:ascii="Calibri" w:hAnsi="Calibri"/>
              </w:rPr>
              <w:t>Corporate executive benefits</w:t>
            </w:r>
          </w:p>
        </w:tc>
        <w:tc>
          <w:tcPr>
            <w:tcW w:type="dxa" w:w="2268"/>
          </w:tcPr>
          <w:p>
            <w:r>
              <w:rPr>
                <w:rFonts w:ascii="Calibri" w:hAnsi="Calibri"/>
              </w:rPr>
              <w:t>Month 3–6</w:t>
            </w:r>
          </w:p>
        </w:tc>
        <w:tc>
          <w:tcPr>
            <w:tcW w:type="dxa" w:w="2268"/>
          </w:tcPr>
          <w:p>
            <w:r>
              <w:rPr>
                <w:rFonts w:ascii="Calibri" w:hAnsi="Calibri"/>
              </w:rPr>
              <w:t>5–10 Oslo companies</w:t>
            </w:r>
          </w:p>
        </w:tc>
        <w:tc>
          <w:tcPr>
            <w:tcW w:type="dxa" w:w="2268"/>
          </w:tcPr>
          <w:p>
            <w:r>
              <w:rPr>
                <w:rFonts w:ascii="Calibri" w:hAnsi="Calibri"/>
              </w:rPr>
              <w:t>High — scales revenue</w:t>
            </w:r>
          </w:p>
        </w:tc>
      </w:tr>
      <w:tr>
        <w:tc>
          <w:tcPr>
            <w:tcW w:type="dxa" w:w="2268"/>
          </w:tcPr>
          <w:p>
            <w:r>
              <w:rPr>
                <w:rFonts w:ascii="Calibri" w:hAnsi="Calibri"/>
              </w:rPr>
              <w:t>Thought leadership (Finansavisen/DN)</w:t>
            </w:r>
          </w:p>
        </w:tc>
        <w:tc>
          <w:tcPr>
            <w:tcW w:type="dxa" w:w="2268"/>
          </w:tcPr>
          <w:p>
            <w:r>
              <w:rPr>
                <w:rFonts w:ascii="Calibri" w:hAnsi="Calibri"/>
              </w:rPr>
              <w:t>Ongoing</w:t>
            </w:r>
          </w:p>
        </w:tc>
        <w:tc>
          <w:tcPr>
            <w:tcW w:type="dxa" w:w="2268"/>
          </w:tcPr>
          <w:p>
            <w:r>
              <w:rPr>
                <w:rFonts w:ascii="Calibri" w:hAnsi="Calibri"/>
              </w:rPr>
              <w:t>Inbound leads</w:t>
            </w:r>
          </w:p>
        </w:tc>
        <w:tc>
          <w:tcPr>
            <w:tcW w:type="dxa" w:w="2268"/>
          </w:tcPr>
          <w:p>
            <w:r>
              <w:rPr>
                <w:rFonts w:ascii="Calibri" w:hAnsi="Calibri"/>
              </w:rPr>
              <w:t>High — brand-building</w:t>
            </w:r>
          </w:p>
        </w:tc>
      </w:tr>
      <w:tr>
        <w:tc>
          <w:tcPr>
            <w:tcW w:type="dxa" w:w="2268"/>
          </w:tcPr>
          <w:p>
            <w:r>
              <w:rPr>
                <w:rFonts w:ascii="Calibri" w:hAnsi="Calibri"/>
              </w:rPr>
              <w:t>Referral programme (1 free month)</w:t>
            </w:r>
          </w:p>
        </w:tc>
        <w:tc>
          <w:tcPr>
            <w:tcW w:type="dxa" w:w="2268"/>
          </w:tcPr>
          <w:p>
            <w:r>
              <w:rPr>
                <w:rFonts w:ascii="Calibri" w:hAnsi="Calibri"/>
              </w:rPr>
              <w:t>Month 4+</w:t>
            </w:r>
          </w:p>
        </w:tc>
        <w:tc>
          <w:tcPr>
            <w:tcW w:type="dxa" w:w="2268"/>
          </w:tcPr>
          <w:p>
            <w:r>
              <w:rPr>
                <w:rFonts w:ascii="Calibri" w:hAnsi="Calibri"/>
              </w:rPr>
              <w:t>Member-driven acquisition</w:t>
            </w:r>
          </w:p>
        </w:tc>
        <w:tc>
          <w:tcPr>
            <w:tcW w:type="dxa" w:w="2268"/>
          </w:tcPr>
          <w:p>
            <w:r>
              <w:rPr>
                <w:rFonts w:ascii="Calibri" w:hAnsi="Calibri"/>
              </w:rPr>
              <w:t>Highest — trust transfer</w:t>
            </w:r>
          </w:p>
        </w:tc>
      </w:tr>
      <w:tr>
        <w:tc>
          <w:tcPr>
            <w:tcW w:type="dxa" w:w="2268"/>
          </w:tcPr>
          <w:p>
            <w:r>
              <w:rPr>
                <w:rFonts w:ascii="Calibri" w:hAnsi="Calibri"/>
              </w:rPr>
              <w:t>Premium partnerships (gym, physio, coaching)</w:t>
            </w:r>
          </w:p>
        </w:tc>
        <w:tc>
          <w:tcPr>
            <w:tcW w:type="dxa" w:w="2268"/>
          </w:tcPr>
          <w:p>
            <w:r>
              <w:rPr>
                <w:rFonts w:ascii="Calibri" w:hAnsi="Calibri"/>
              </w:rPr>
              <w:t>Month 6+</w:t>
            </w:r>
          </w:p>
        </w:tc>
        <w:tc>
          <w:tcPr>
            <w:tcW w:type="dxa" w:w="2268"/>
          </w:tcPr>
          <w:p>
            <w:r>
              <w:rPr>
                <w:rFonts w:ascii="Calibri" w:hAnsi="Calibri"/>
              </w:rPr>
              <w:t>Warm wellness audiences</w:t>
            </w:r>
          </w:p>
        </w:tc>
        <w:tc>
          <w:tcPr>
            <w:tcW w:type="dxa" w:w="2268"/>
          </w:tcPr>
          <w:p>
            <w:r>
              <w:rPr>
                <w:rFonts w:ascii="Calibri" w:hAnsi="Calibri"/>
              </w:rPr>
              <w:t>Medium</w:t>
            </w:r>
          </w:p>
        </w:tc>
      </w:tr>
    </w:tbl>
    <w:p/>
    <w:p>
      <w:pPr>
        <w:pStyle w:val="Heading2"/>
      </w:pPr>
      <w:r>
        <w:rPr>
          <w:rFonts w:ascii="Calibri" w:hAnsi="Calibri"/>
          <w:color w:val="1A1A1A"/>
        </w:rPr>
        <w:t>6.3  The Corporate Benefits Channel</w:t>
      </w:r>
    </w:p>
    <w:p>
      <w:r>
        <w:rPr>
          <w:rFonts w:ascii="Calibri" w:hAnsi="Calibri"/>
          <w:b w:val="0"/>
          <w:i w:val="0"/>
          <w:sz w:val="21"/>
        </w:rPr>
        <w:t>The corporate pitch is straightforward: executive health membership as a benefit costs NOK 30,000–120,000 per executive annually — trivial against the cost of an executive vacancy (typically 1–2× annual salary). A single agreement covering five executives generates NOK 150,000–600,000 in recurring annual revenue.</w:t>
      </w:r>
    </w:p>
    <w:p>
      <w:r>
        <w:rPr>
          <w:rFonts w:ascii="Calibri" w:hAnsi="Calibri"/>
          <w:b w:val="0"/>
          <w:i w:val="0"/>
          <w:sz w:val="21"/>
        </w:rPr>
        <w:t>Secure 2-year exclusivity agreements with one premium private clinic and one premium gym (e.g. SATS Elite). This prevents direct replication and creates a defensible referral network.</w:t>
      </w:r>
    </w:p>
    <w:p>
      <w:r>
        <w:br w:type="page"/>
      </w:r>
    </w:p>
    <w:p>
      <w:pPr>
        <w:pStyle w:val="Heading2"/>
      </w:pPr>
      <w:r>
        <w:t>6.4  Pilot Phase — Validate Before You Scale</w:t>
      </w:r>
    </w:p>
    <w:p>
      <w:pPr/>
      <w:r>
        <w:t>Before committing to premium premises or external investors, the practice runs a lean proof-of-concept pilot — modelled on the Oslo longevity clinic that started at Startup-lab alongside day jobs and tested 30+ users before raising capital.</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Timeline</w:t>
            </w:r>
          </w:p>
        </w:tc>
        <w:tc>
          <w:tcPr>
            <w:tcW w:type="dxa" w:w="3024"/>
          </w:tcPr>
          <w:p>
            <w:r>
              <w:rPr>
                <w:b/>
              </w:rPr>
              <w:t>Objective</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Phase 0 — Pilot</w:t>
            </w:r>
          </w:p>
        </w:tc>
        <w:tc>
          <w:tcPr>
            <w:tcW w:type="dxa" w:w="3024"/>
          </w:tcPr>
          <w:p>
            <w:r>
              <w:t>Months 1–2</w:t>
            </w:r>
          </w:p>
        </w:tc>
        <w:tc>
          <w:tcPr>
            <w:tcW w:type="dxa" w:w="3024"/>
          </w:tcPr>
          <w:p>
            <w:r>
              <w:t>Recruit 5–10 founding members; test all pricing tiers; confirm payment willingness; stress-test operations</w:t>
            </w:r>
          </w:p>
        </w:tc>
      </w:tr>
      <w:tr>
        <w:tc>
          <w:tcPr>
            <w:tcW w:type="dxa" w:w="3024"/>
          </w:tcPr>
          <w:p>
            <w:r>
              <w:t>Funding path</w:t>
            </w:r>
          </w:p>
        </w:tc>
        <w:tc>
          <w:tcPr>
            <w:tcW w:type="dxa" w:w="3024"/>
          </w:tcPr>
          <w:p>
            <w:r>
              <w:t>Months 1–6</w:t>
            </w:r>
          </w:p>
        </w:tc>
        <w:tc>
          <w:tcPr>
            <w:tcW w:type="dxa" w:w="3024"/>
          </w:tcPr>
          <w:p>
            <w:r>
              <w:t>Personal funds → Innovasjon Norge grant → pilot revenue → scale</w:t>
            </w:r>
          </w:p>
        </w:tc>
      </w:tr>
      <w:tr>
        <w:tc>
          <w:tcPr>
            <w:tcW w:type="dxa" w:w="3024"/>
          </w:tcPr>
          <w:p>
            <w:r>
              <w:t>Investor gate</w:t>
            </w:r>
          </w:p>
        </w:tc>
        <w:tc>
          <w:tcPr>
            <w:tcW w:type="dxa" w:w="3024"/>
          </w:tcPr>
          <w:p>
            <w:r>
              <w:t>Month 6</w:t>
            </w:r>
          </w:p>
        </w:tc>
        <w:tc>
          <w:tcPr>
            <w:tcW w:type="dxa" w:w="3024"/>
          </w:tcPr>
          <w:p>
            <w:r>
              <w:t>Proceed to external pitch only with confirmed recurring revenue and 3+ months of member data</w:t>
            </w:r>
          </w:p>
        </w:tc>
      </w:tr>
    </w:tbl>
    <w:p>
      <w:pPr/>
    </w:p>
    <w:p>
      <w:pPr>
        <w:pStyle w:val="Heading2"/>
      </w:pPr>
      <w:r>
        <w:t>6.5  Barriers to Competitive Entry</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Competitive Moat</w:t>
            </w:r>
          </w:p>
        </w:tc>
        <w:tc>
          <w:tcPr>
            <w:tcW w:type="dxa" w:w="3024"/>
          </w:tcPr>
          <w:p>
            <w:r>
              <w:rPr>
                <w:b/>
              </w:rPr>
              <w:t>Description</w:t>
            </w:r>
          </w:p>
        </w:tc>
        <w:tc>
          <w:tcPr>
            <w:tcW w:type="dxa" w:w="3024"/>
          </w:tcPr>
          <w:p>
            <w:r>
              <w:rPr>
                <w:b/>
              </w:rPr>
              <w:t>Time to Replicate</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Member data &amp; dossiers</w:t>
            </w:r>
          </w:p>
        </w:tc>
        <w:tc>
          <w:tcPr>
            <w:tcW w:type="dxa" w:w="3024"/>
          </w:tcPr>
          <w:p>
            <w:r>
              <w:t>Each dossier grows richer with every interaction — irreplaceable after 2+ years</w:t>
            </w:r>
          </w:p>
        </w:tc>
        <w:tc>
          <w:tcPr>
            <w:tcW w:type="dxa" w:w="3024"/>
          </w:tcPr>
          <w:p>
            <w:r>
              <w:t>2+ years</w:t>
            </w:r>
          </w:p>
        </w:tc>
      </w:tr>
      <w:tr>
        <w:tc>
          <w:tcPr>
            <w:tcW w:type="dxa" w:w="3024"/>
          </w:tcPr>
          <w:p>
            <w:r>
              <w:t>Back-office infrastructure</w:t>
            </w:r>
          </w:p>
        </w:tc>
        <w:tc>
          <w:tcPr>
            <w:tcW w:type="dxa" w:w="3024"/>
          </w:tcPr>
          <w:p>
            <w:r>
              <w:t>The operational system requires significant time and expertise to replicate</w:t>
            </w:r>
          </w:p>
        </w:tc>
        <w:tc>
          <w:tcPr>
            <w:tcW w:type="dxa" w:w="3024"/>
          </w:tcPr>
          <w:p>
            <w:r>
              <w:t>12–18 months</w:t>
            </w:r>
          </w:p>
        </w:tc>
      </w:tr>
      <w:tr>
        <w:tc>
          <w:tcPr>
            <w:tcW w:type="dxa" w:w="3024"/>
          </w:tcPr>
          <w:p>
            <w:r>
              <w:t>Exclusive partnerships</w:t>
            </w:r>
          </w:p>
        </w:tc>
        <w:tc>
          <w:tcPr>
            <w:tcW w:type="dxa" w:w="3024"/>
          </w:tcPr>
          <w:p>
            <w:r>
              <w:t>2-year lock-in with clinic and gym partners</w:t>
            </w:r>
          </w:p>
        </w:tc>
        <w:tc>
          <w:tcPr>
            <w:tcW w:type="dxa" w:w="3024"/>
          </w:tcPr>
          <w:p>
            <w:r>
              <w:t>24 months</w:t>
            </w:r>
          </w:p>
        </w:tc>
      </w:tr>
      <w:tr>
        <w:tc>
          <w:tcPr>
            <w:tcW w:type="dxa" w:w="3024"/>
          </w:tcPr>
          <w:p>
            <w:r>
              <w:t>Physician brand &amp; trust</w:t>
            </w:r>
          </w:p>
        </w:tc>
        <w:tc>
          <w:tcPr>
            <w:tcW w:type="dxa" w:w="3024"/>
          </w:tcPr>
          <w:p>
            <w:r>
              <w:t>The doctor-member relationship is the primary retention driver — cannot be replicated</w:t>
            </w:r>
          </w:p>
        </w:tc>
        <w:tc>
          <w:tcPr>
            <w:tcW w:type="dxa" w:w="3024"/>
          </w:tcPr>
          <w:p>
            <w:r>
              <w:t>Irreplaceable</w:t>
            </w:r>
          </w:p>
        </w:tc>
      </w:tr>
      <w:tr>
        <w:tc>
          <w:tcPr>
            <w:tcW w:type="dxa" w:w="3024"/>
          </w:tcPr>
          <w:p>
            <w:r>
              <w:t>Medical credential (2021 law)</w:t>
            </w:r>
          </w:p>
        </w:tc>
        <w:tc>
          <w:tcPr>
            <w:tcW w:type="dxa" w:w="3024"/>
          </w:tcPr>
          <w:p>
            <w:r>
              <w:t>Norwegian law restricts aesthetic injectables to licensed healthcare personnel — eliminates non-physician competitors</w:t>
            </w:r>
          </w:p>
        </w:tc>
        <w:tc>
          <w:tcPr>
            <w:tcW w:type="dxa" w:w="3024"/>
          </w:tcPr>
          <w:p>
            <w:r>
              <w:t>Irreplaceable</w:t>
            </w:r>
          </w:p>
        </w:tc>
      </w:tr>
    </w:tbl>
    <w:p>
      <w:pPr/>
    </w:p>
    <w:p>
      <w:pPr>
        <w:pStyle w:val="Heading1"/>
      </w:pPr>
      <w:r>
        <w:rPr>
          <w:rFonts w:ascii="Calibri" w:hAnsi="Calibri"/>
          <w:color w:val="1A1A1A"/>
        </w:rPr>
        <w:t>7. Implementation Roadmap</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Phase</w:t>
            </w:r>
          </w:p>
        </w:tc>
        <w:tc>
          <w:tcPr>
            <w:tcW w:type="dxa" w:w="2268"/>
          </w:tcPr>
          <w:p>
            <w:r>
              <w:rPr>
                <w:rFonts w:ascii="Calibri" w:hAnsi="Calibri"/>
                <w:b/>
              </w:rPr>
              <w:t>Timeline</w:t>
            </w:r>
          </w:p>
        </w:tc>
        <w:tc>
          <w:tcPr>
            <w:tcW w:type="dxa" w:w="2268"/>
          </w:tcPr>
          <w:p>
            <w:r>
              <w:rPr>
                <w:rFonts w:ascii="Calibri" w:hAnsi="Calibri"/>
                <w:b/>
              </w:rPr>
              <w:t>Objectives</w:t>
            </w:r>
          </w:p>
        </w:tc>
        <w:tc>
          <w:tcPr>
            <w:tcW w:type="dxa" w:w="2268"/>
          </w:tcPr>
          <w:p>
            <w:r>
              <w:rPr>
                <w:rFonts w:ascii="Calibri" w:hAnsi="Calibri"/>
                <w:b/>
              </w:rPr>
              <w:t>Key Milestones</w:t>
            </w:r>
          </w:p>
        </w:tc>
      </w:tr>
      <w:tr>
        <w:tc>
          <w:tcPr>
            <w:tcW w:type="dxa" w:w="2268"/>
          </w:tcPr>
          <w:p>
            <w:r>
              <w:t>Phase 0 — Pilot</w:t>
            </w:r>
          </w:p>
        </w:tc>
        <w:tc>
          <w:tcPr>
            <w:tcW w:type="dxa" w:w="2268"/>
          </w:tcPr>
          <w:p>
            <w:r>
              <w:t>Months 1–2</w:t>
            </w:r>
          </w:p>
        </w:tc>
        <w:tc>
          <w:tcPr>
            <w:tcW w:type="dxa" w:w="2268"/>
          </w:tcPr>
          <w:p>
            <w:r>
              <w:t>Proof-of-concept; confirm payment willingness; refine service model</w:t>
            </w:r>
          </w:p>
        </w:tc>
        <w:tc>
          <w:tcPr>
            <w:tcW w:type="dxa" w:w="2268"/>
          </w:tcPr>
          <w:p>
            <w:r>
              <w:t>First 5–10 founding members; all tiers tested; investor gate set for Month 6</w:t>
            </w:r>
          </w:p>
        </w:tc>
      </w:tr>
      <w:tr>
        <w:tc>
          <w:tcPr>
            <w:tcW w:type="dxa" w:w="2268"/>
          </w:tcPr>
          <w:p>
            <w:r>
              <w:rPr>
                <w:rFonts w:ascii="Calibri" w:hAnsi="Calibri"/>
              </w:rPr>
              <w:t>Foundation</w:t>
            </w:r>
          </w:p>
        </w:tc>
        <w:tc>
          <w:tcPr>
            <w:tcW w:type="dxa" w:w="2268"/>
          </w:tcPr>
          <w:p>
            <w:r>
              <w:rPr>
                <w:rFonts w:ascii="Calibri" w:hAnsi="Calibri"/>
              </w:rPr>
              <w:t>Weeks 1–4</w:t>
            </w:r>
          </w:p>
        </w:tc>
        <w:tc>
          <w:tcPr>
            <w:tcW w:type="dxa" w:w="2268"/>
          </w:tcPr>
          <w:p>
            <w:r>
              <w:rPr>
                <w:rFonts w:ascii="Calibri" w:hAnsi="Calibri"/>
              </w:rPr>
              <w:t>Legal, systems, clinical infrastructure</w:t>
            </w:r>
          </w:p>
        </w:tc>
        <w:tc>
          <w:tcPr>
            <w:tcW w:type="dxa" w:w="2268"/>
          </w:tcPr>
          <w:p>
            <w:r>
              <w:rPr>
                <w:rFonts w:ascii="Calibri" w:hAnsi="Calibri"/>
              </w:rPr>
              <w:t>AS registered, EPJ live, lab partnerships, OpenClaw configured</w:t>
            </w:r>
          </w:p>
        </w:tc>
      </w:tr>
      <w:tr>
        <w:tc>
          <w:tcPr>
            <w:tcW w:type="dxa" w:w="2268"/>
          </w:tcPr>
          <w:p>
            <w:r>
              <w:rPr>
                <w:rFonts w:ascii="Calibri" w:hAnsi="Calibri"/>
              </w:rPr>
              <w:t>Founder Launch</w:t>
            </w:r>
          </w:p>
        </w:tc>
        <w:tc>
          <w:tcPr>
            <w:tcW w:type="dxa" w:w="2268"/>
          </w:tcPr>
          <w:p>
            <w:r>
              <w:rPr>
                <w:rFonts w:ascii="Calibri" w:hAnsi="Calibri"/>
              </w:rPr>
              <w:t>Weeks 5–12</w:t>
            </w:r>
          </w:p>
        </w:tc>
        <w:tc>
          <w:tcPr>
            <w:tcW w:type="dxa" w:w="2268"/>
          </w:tcPr>
          <w:p>
            <w:r>
              <w:rPr>
                <w:rFonts w:ascii="Calibri" w:hAnsi="Calibri"/>
              </w:rPr>
              <w:t>Soft-launch to personal network</w:t>
            </w:r>
          </w:p>
        </w:tc>
        <w:tc>
          <w:tcPr>
            <w:tcW w:type="dxa" w:w="2268"/>
          </w:tcPr>
          <w:p>
            <w:r>
              <w:rPr>
                <w:rFonts w:ascii="Calibri" w:hAnsi="Calibri"/>
              </w:rPr>
              <w:t>10–15 founding members, all tiers tested, first dossiers built</w:t>
            </w:r>
          </w:p>
        </w:tc>
      </w:tr>
      <w:tr>
        <w:tc>
          <w:tcPr>
            <w:tcW w:type="dxa" w:w="2268"/>
          </w:tcPr>
          <w:p>
            <w:r>
              <w:rPr>
                <w:rFonts w:ascii="Calibri" w:hAnsi="Calibri"/>
              </w:rPr>
              <w:t>Growth</w:t>
            </w:r>
          </w:p>
        </w:tc>
        <w:tc>
          <w:tcPr>
            <w:tcW w:type="dxa" w:w="2268"/>
          </w:tcPr>
          <w:p>
            <w:r>
              <w:rPr>
                <w:rFonts w:ascii="Calibri" w:hAnsi="Calibri"/>
              </w:rPr>
              <w:t>Months 4–12</w:t>
            </w:r>
          </w:p>
        </w:tc>
        <w:tc>
          <w:tcPr>
            <w:tcW w:type="dxa" w:w="2268"/>
          </w:tcPr>
          <w:p>
            <w:r>
              <w:rPr>
                <w:rFonts w:ascii="Calibri" w:hAnsi="Calibri"/>
              </w:rPr>
              <w:t>Full-rate acquisition, corporate outreach</w:t>
            </w:r>
          </w:p>
        </w:tc>
        <w:tc>
          <w:tcPr>
            <w:tcW w:type="dxa" w:w="2268"/>
          </w:tcPr>
          <w:p>
            <w:r>
              <w:rPr>
                <w:rFonts w:ascii="Calibri" w:hAnsi="Calibri"/>
              </w:rPr>
              <w:t>40–50 members, first corporate agreement, content published</w:t>
            </w:r>
          </w:p>
        </w:tc>
      </w:tr>
      <w:tr>
        <w:tc>
          <w:tcPr>
            <w:tcW w:type="dxa" w:w="2268"/>
          </w:tcPr>
          <w:p>
            <w:r>
              <w:rPr>
                <w:rFonts w:ascii="Calibri" w:hAnsi="Calibri"/>
              </w:rPr>
              <w:t>Scale</w:t>
            </w:r>
          </w:p>
        </w:tc>
        <w:tc>
          <w:tcPr>
            <w:tcW w:type="dxa" w:w="2268"/>
          </w:tcPr>
          <w:p>
            <w:r>
              <w:rPr>
                <w:rFonts w:ascii="Calibri" w:hAnsi="Calibri"/>
              </w:rPr>
              <w:t>Year 2</w:t>
            </w:r>
          </w:p>
        </w:tc>
        <w:tc>
          <w:tcPr>
            <w:tcW w:type="dxa" w:w="2268"/>
          </w:tcPr>
          <w:p>
            <w:r>
              <w:rPr>
                <w:rFonts w:ascii="Calibri" w:hAnsi="Calibri"/>
              </w:rPr>
              <w:t>Expand capacity, add clinical support</w:t>
            </w:r>
          </w:p>
        </w:tc>
        <w:tc>
          <w:tcPr>
            <w:tcW w:type="dxa" w:w="2268"/>
          </w:tcPr>
          <w:p>
            <w:r>
              <w:rPr>
                <w:rFonts w:ascii="Calibri" w:hAnsi="Calibri"/>
              </w:rPr>
              <w:t>75–100 members, nurse practitioner/PA hired</w:t>
            </w:r>
          </w:p>
        </w:tc>
      </w:tr>
      <w:tr>
        <w:tc>
          <w:tcPr>
            <w:tcW w:type="dxa" w:w="2268"/>
          </w:tcPr>
          <w:p>
            <w:r>
              <w:rPr>
                <w:rFonts w:ascii="Calibri" w:hAnsi="Calibri"/>
              </w:rPr>
              <w:t>Optimise</w:t>
            </w:r>
          </w:p>
        </w:tc>
        <w:tc>
          <w:tcPr>
            <w:tcW w:type="dxa" w:w="2268"/>
          </w:tcPr>
          <w:p>
            <w:r>
              <w:rPr>
                <w:rFonts w:ascii="Calibri" w:hAnsi="Calibri"/>
              </w:rPr>
              <w:t>Year 3+</w:t>
            </w:r>
          </w:p>
        </w:tc>
        <w:tc>
          <w:tcPr>
            <w:tcW w:type="dxa" w:w="2268"/>
          </w:tcPr>
          <w:p>
            <w:r>
              <w:rPr>
                <w:rFonts w:ascii="Calibri" w:hAnsi="Calibri"/>
              </w:rPr>
              <w:t>Full concierge operation</w:t>
            </w:r>
          </w:p>
        </w:tc>
        <w:tc>
          <w:tcPr>
            <w:tcW w:type="dxa" w:w="2268"/>
          </w:tcPr>
          <w:p>
            <w:r>
              <w:rPr>
                <w:rFonts w:ascii="Calibri" w:hAnsi="Calibri"/>
              </w:rPr>
              <w:t>80–100 members, optional second physician or expansion</w:t>
            </w:r>
          </w:p>
        </w:tc>
      </w:tr>
    </w:tbl>
    <w:p/>
    <w:p>
      <w:pPr>
        <w:pStyle w:val="Heading2"/>
      </w:pPr>
      <w:r>
        <w:rPr>
          <w:rFonts w:ascii="Calibri" w:hAnsi="Calibri"/>
          <w:color w:val="1A1A1A"/>
        </w:rPr>
        <w:t>7.1  90-Day Launch Checklist</w:t>
      </w:r>
    </w:p>
    <w:p>
      <w:pPr>
        <w:pStyle w:val="ListBullet"/>
      </w:pPr>
      <w:r>
        <w:rPr>
          <w:rFonts w:ascii="Calibri" w:hAnsi="Calibri"/>
          <w:b w:val="0"/>
          <w:i w:val="0"/>
          <w:sz w:val="21"/>
        </w:rPr>
        <w:t>Week 1: Review fastlegeavtale for competing activity clauses; consult Legeforeningen legal support if needed</w:t>
      </w:r>
    </w:p>
    <w:p>
      <w:pPr>
        <w:pStyle w:val="ListBullet"/>
      </w:pPr>
      <w:r>
        <w:rPr>
          <w:rFonts w:ascii="Calibri" w:hAnsi="Calibri"/>
          <w:b w:val="0"/>
          <w:i w:val="0"/>
          <w:sz w:val="21"/>
        </w:rPr>
        <w:t>Week 1: Register AS via Altinn; notify municipality of private practice; notify employer per contract</w:t>
      </w:r>
    </w:p>
    <w:p>
      <w:pPr>
        <w:pStyle w:val="ListBullet"/>
      </w:pPr>
      <w:r>
        <w:rPr>
          <w:rFonts w:ascii="Calibri" w:hAnsi="Calibri"/>
          <w:b w:val="0"/>
          <w:i w:val="0"/>
          <w:sz w:val="21"/>
        </w:rPr>
        <w:t>Week 1–2: Engage lawyer — membership agreement, privacy notice, consent forms</w:t>
      </w:r>
    </w:p>
    <w:p>
      <w:pPr>
        <w:pStyle w:val="ListBullet"/>
      </w:pPr>
      <w:r>
        <w:rPr>
          <w:rFonts w:ascii="Calibri" w:hAnsi="Calibri"/>
          <w:b w:val="0"/>
          <w:i w:val="0"/>
          <w:sz w:val="21"/>
        </w:rPr>
        <w:t>Week 1–2: Apply for ansvarsforsikring (professional liability insurance)</w:t>
      </w:r>
    </w:p>
    <w:p>
      <w:pPr>
        <w:pStyle w:val="ListBullet"/>
      </w:pPr>
      <w:r>
        <w:rPr>
          <w:rFonts w:ascii="Calibri" w:hAnsi="Calibri"/>
          <w:b w:val="0"/>
          <w:i w:val="0"/>
          <w:sz w:val="21"/>
        </w:rPr>
        <w:t>Week 2: Identify and secure consultation room (shared privatklinikk space to start)</w:t>
      </w:r>
    </w:p>
    <w:p>
      <w:pPr>
        <w:pStyle w:val="ListBullet"/>
      </w:pPr>
      <w:r>
        <w:rPr>
          <w:rFonts w:ascii="Calibri" w:hAnsi="Calibri"/>
          <w:b w:val="0"/>
          <w:i w:val="0"/>
          <w:sz w:val="21"/>
        </w:rPr>
        <w:t>Week 2–4: Set up OpenClaw on Mac Mini M4 with member dossier structure and all 5 AI agents</w:t>
      </w:r>
    </w:p>
    <w:p>
      <w:pPr>
        <w:pStyle w:val="ListBullet"/>
      </w:pPr>
      <w:r>
        <w:rPr>
          <w:rFonts w:ascii="Calibri" w:hAnsi="Calibri"/>
          <w:b w:val="0"/>
          <w:i w:val="0"/>
          <w:sz w:val="21"/>
        </w:rPr>
        <w:t>Week 2–4: Establish lab partnership accounts (Unilabs and/or Fürst)</w:t>
      </w:r>
    </w:p>
    <w:p>
      <w:pPr>
        <w:pStyle w:val="ListBullet"/>
      </w:pPr>
      <w:r>
        <w:rPr>
          <w:rFonts w:ascii="Calibri" w:hAnsi="Calibri"/>
          <w:b w:val="0"/>
          <w:i w:val="0"/>
          <w:sz w:val="21"/>
        </w:rPr>
        <w:t>Week 2–4: Register with NPE before first patient; configure EPJ, intake form, scheduling, billing</w:t>
      </w:r>
    </w:p>
    <w:p>
      <w:pPr>
        <w:pStyle w:val="ListBullet"/>
      </w:pPr>
      <w:r>
        <w:rPr>
          <w:rFonts w:ascii="Calibri" w:hAnsi="Calibri"/>
          <w:b w:val="0"/>
          <w:i w:val="0"/>
          <w:sz w:val="21"/>
        </w:rPr>
        <w:t>Week 4–6: Draft member handbook, supplement protocol templates, SOAP consultation templates</w:t>
      </w:r>
    </w:p>
    <w:p>
      <w:pPr>
        <w:pStyle w:val="ListBullet"/>
      </w:pPr>
      <w:r>
        <w:rPr>
          <w:rFonts w:ascii="Calibri" w:hAnsi="Calibri"/>
          <w:b w:val="0"/>
          <w:i w:val="0"/>
          <w:sz w:val="21"/>
        </w:rPr>
        <w:t>Week 6–8: Write personal outreach to 30–50 professional network contacts</w:t>
      </w:r>
    </w:p>
    <w:p>
      <w:pPr>
        <w:pStyle w:val="ListBullet"/>
      </w:pPr>
      <w:r>
        <w:rPr>
          <w:rFonts w:ascii="Calibri" w:hAnsi="Calibri"/>
          <w:b w:val="0"/>
          <w:i w:val="0"/>
          <w:sz w:val="21"/>
        </w:rPr>
        <w:t>Week 8–10: Host 2–3 informal conversations; offer founding member pricing (NOK 1,500–2,500/mo)</w:t>
      </w:r>
    </w:p>
    <w:p>
      <w:pPr>
        <w:pStyle w:val="ListBullet"/>
      </w:pPr>
      <w:r>
        <w:rPr>
          <w:rFonts w:ascii="Calibri" w:hAnsi="Calibri"/>
          <w:b w:val="0"/>
          <w:i w:val="0"/>
          <w:sz w:val="21"/>
        </w:rPr>
        <w:t>Week 10–12: Onboard first 5–10 members; run first agent briefing cycle</w:t>
      </w:r>
    </w:p>
    <w:p>
      <w:pPr>
        <w:pStyle w:val="ListBullet"/>
      </w:pPr>
      <w:r>
        <w:rPr>
          <w:rFonts w:ascii="Calibri" w:hAnsi="Calibri"/>
          <w:b w:val="0"/>
          <w:i w:val="0"/>
          <w:sz w:val="21"/>
        </w:rPr>
        <w:t>Day 90 Target: 15+ members, NOK 75,000+/month recurring revenue</w:t>
      </w:r>
    </w:p>
    <w:p>
      <w:r>
        <w:br w:type="page"/>
      </w:r>
    </w:p>
    <w:p>
      <w:pPr>
        <w:pStyle w:val="Heading1"/>
      </w:pPr>
      <w:r>
        <w:rPr>
          <w:rFonts w:ascii="Calibri" w:hAnsi="Calibri"/>
          <w:color w:val="1A1A1A"/>
        </w:rPr>
        <w:t>8. Risk Management &amp; Competitive Moat</w:t>
      </w:r>
    </w:p>
    <w:p>
      <w:pPr>
        <w:pStyle w:val="Heading2"/>
      </w:pPr>
      <w:r>
        <w:rPr>
          <w:rFonts w:ascii="Calibri" w:hAnsi="Calibri"/>
          <w:color w:val="1A1A1A"/>
        </w:rPr>
        <w:t>8.1  Key Risks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Risk</w:t>
            </w:r>
          </w:p>
        </w:tc>
        <w:tc>
          <w:tcPr>
            <w:tcW w:type="dxa" w:w="2268"/>
          </w:tcPr>
          <w:p>
            <w:r>
              <w:rPr>
                <w:rFonts w:ascii="Calibri" w:hAnsi="Calibri"/>
                <w:b/>
              </w:rPr>
              <w:t>Probability</w:t>
            </w:r>
          </w:p>
        </w:tc>
        <w:tc>
          <w:tcPr>
            <w:tcW w:type="dxa" w:w="2268"/>
          </w:tcPr>
          <w:p>
            <w:r>
              <w:rPr>
                <w:rFonts w:ascii="Calibri" w:hAnsi="Calibri"/>
                <w:b/>
              </w:rPr>
              <w:t>Impact</w:t>
            </w:r>
          </w:p>
        </w:tc>
        <w:tc>
          <w:tcPr>
            <w:tcW w:type="dxa" w:w="2268"/>
          </w:tcPr>
          <w:p>
            <w:r>
              <w:rPr>
                <w:rFonts w:ascii="Calibri" w:hAnsi="Calibri"/>
                <w:b/>
              </w:rPr>
              <w:t>Mitigation</w:t>
            </w:r>
          </w:p>
        </w:tc>
      </w:tr>
      <w:tr>
        <w:tc>
          <w:tcPr>
            <w:tcW w:type="dxa" w:w="2268"/>
          </w:tcPr>
          <w:p>
            <w:r>
              <w:rPr>
                <w:rFonts w:ascii="Calibri" w:hAnsi="Calibri"/>
              </w:rPr>
              <w:t>Physician illness/unavailability</w:t>
            </w:r>
          </w:p>
        </w:tc>
        <w:tc>
          <w:tcPr>
            <w:tcW w:type="dxa" w:w="2268"/>
          </w:tcPr>
          <w:p>
            <w:r>
              <w:rPr>
                <w:rFonts w:ascii="Calibri" w:hAnsi="Calibri"/>
              </w:rPr>
              <w:t>Low</w:t>
            </w:r>
          </w:p>
        </w:tc>
        <w:tc>
          <w:tcPr>
            <w:tcW w:type="dxa" w:w="2268"/>
          </w:tcPr>
          <w:p>
            <w:r>
              <w:rPr>
                <w:rFonts w:ascii="Calibri" w:hAnsi="Calibri"/>
              </w:rPr>
              <w:t>High</w:t>
            </w:r>
          </w:p>
        </w:tc>
        <w:tc>
          <w:tcPr>
            <w:tcW w:type="dxa" w:w="2268"/>
          </w:tcPr>
          <w:p>
            <w:r>
              <w:rPr>
                <w:rFonts w:ascii="Calibri" w:hAnsi="Calibri"/>
              </w:rPr>
              <w:t>1–2 locum GP relationships; coverage dossiers; force majeure clause</w:t>
            </w:r>
          </w:p>
        </w:tc>
      </w:tr>
      <w:tr>
        <w:tc>
          <w:tcPr>
            <w:tcW w:type="dxa" w:w="2268"/>
          </w:tcPr>
          <w:p>
            <w:r>
              <w:rPr>
                <w:rFonts w:ascii="Calibri" w:hAnsi="Calibri"/>
              </w:rPr>
              <w:t>Fastlege agreement conflict</w:t>
            </w:r>
          </w:p>
        </w:tc>
        <w:tc>
          <w:tcPr>
            <w:tcW w:type="dxa" w:w="2268"/>
          </w:tcPr>
          <w:p>
            <w:r>
              <w:rPr>
                <w:rFonts w:ascii="Calibri" w:hAnsi="Calibri"/>
              </w:rPr>
              <w:t>Medium</w:t>
            </w:r>
          </w:p>
        </w:tc>
        <w:tc>
          <w:tcPr>
            <w:tcW w:type="dxa" w:w="2268"/>
          </w:tcPr>
          <w:p>
            <w:r>
              <w:rPr>
                <w:rFonts w:ascii="Calibri" w:hAnsi="Calibri"/>
              </w:rPr>
              <w:t>High</w:t>
            </w:r>
          </w:p>
        </w:tc>
        <w:tc>
          <w:tcPr>
            <w:tcW w:type="dxa" w:w="2268"/>
          </w:tcPr>
          <w:p>
            <w:r>
              <w:rPr>
                <w:rFonts w:ascii="Calibri" w:hAnsi="Calibri"/>
              </w:rPr>
              <w:t>Review contract before launch; clear practice separation; legal advice</w:t>
            </w:r>
          </w:p>
        </w:tc>
      </w:tr>
      <w:tr>
        <w:tc>
          <w:tcPr>
            <w:tcW w:type="dxa" w:w="2268"/>
          </w:tcPr>
          <w:p>
            <w:r>
              <w:rPr>
                <w:rFonts w:ascii="Calibri" w:hAnsi="Calibri"/>
              </w:rPr>
              <w:t>Competitive entry</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2-year exclusive partnerships; proprietary AI stack; data moat</w:t>
            </w:r>
          </w:p>
        </w:tc>
      </w:tr>
      <w:tr>
        <w:tc>
          <w:tcPr>
            <w:tcW w:type="dxa" w:w="2268"/>
          </w:tcPr>
          <w:p>
            <w:r>
              <w:rPr>
                <w:rFonts w:ascii="Calibri" w:hAnsi="Calibri"/>
              </w:rPr>
              <w:t>Member churn</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Annual Roadmap ritual; prepay discount; engagement scoring; pause option</w:t>
            </w:r>
          </w:p>
        </w:tc>
      </w:tr>
      <w:tr>
        <w:tc>
          <w:tcPr>
            <w:tcW w:type="dxa" w:w="2268"/>
          </w:tcPr>
          <w:p>
            <w:r>
              <w:rPr>
                <w:rFonts w:ascii="Calibri" w:hAnsi="Calibri"/>
              </w:rPr>
              <w:t>Regulatory change</w:t>
            </w:r>
          </w:p>
        </w:tc>
        <w:tc>
          <w:tcPr>
            <w:tcW w:type="dxa" w:w="2268"/>
          </w:tcPr>
          <w:p>
            <w:r>
              <w:rPr>
                <w:rFonts w:ascii="Calibri" w:hAnsi="Calibri"/>
              </w:rPr>
              <w:t>Low</w:t>
            </w:r>
          </w:p>
        </w:tc>
        <w:tc>
          <w:tcPr>
            <w:tcW w:type="dxa" w:w="2268"/>
          </w:tcPr>
          <w:p>
            <w:r>
              <w:rPr>
                <w:rFonts w:ascii="Calibri" w:hAnsi="Calibri"/>
              </w:rPr>
              <w:t>Medium</w:t>
            </w:r>
          </w:p>
        </w:tc>
        <w:tc>
          <w:tcPr>
            <w:tcW w:type="dxa" w:w="2268"/>
          </w:tcPr>
          <w:p>
            <w:r>
              <w:rPr>
                <w:rFonts w:ascii="Calibri" w:hAnsi="Calibri"/>
              </w:rPr>
              <w:t>Monitor helfrivat rules; annual healthcare legal review</w:t>
            </w:r>
          </w:p>
        </w:tc>
      </w:tr>
    </w:tbl>
    <w:p/>
    <w:p>
      <w:pPr>
        <w:pStyle w:val="Heading2"/>
      </w:pPr>
      <w:r>
        <w:rPr>
          <w:rFonts w:ascii="Calibri" w:hAnsi="Calibri"/>
          <w:color w:val="1A1A1A"/>
        </w:rPr>
        <w:t>8.2  Competitive Moat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Moat Layer</w:t>
            </w:r>
          </w:p>
        </w:tc>
        <w:tc>
          <w:tcPr>
            <w:tcW w:type="dxa" w:w="3024"/>
          </w:tcPr>
          <w:p>
            <w:r>
              <w:rPr>
                <w:rFonts w:ascii="Calibri" w:hAnsi="Calibri"/>
                <w:b/>
              </w:rPr>
              <w:t>Description</w:t>
            </w:r>
          </w:p>
        </w:tc>
        <w:tc>
          <w:tcPr>
            <w:tcW w:type="dxa" w:w="3024"/>
          </w:tcPr>
          <w:p>
            <w:r>
              <w:rPr>
                <w:rFonts w:ascii="Calibri" w:hAnsi="Calibri"/>
                <w:b/>
              </w:rPr>
              <w:t>Time to Replicate</w:t>
            </w:r>
          </w:p>
        </w:tc>
      </w:tr>
      <w:tr>
        <w:tc>
          <w:tcPr>
            <w:tcW w:type="dxa" w:w="3024"/>
          </w:tcPr>
          <w:p>
            <w:r>
              <w:rPr>
                <w:rFonts w:ascii="Calibri" w:hAnsi="Calibri"/>
              </w:rPr>
              <w:t>Data accumulation</w:t>
            </w:r>
          </w:p>
        </w:tc>
        <w:tc>
          <w:tcPr>
            <w:tcW w:type="dxa" w:w="3024"/>
          </w:tcPr>
          <w:p>
            <w:r>
              <w:rPr>
                <w:rFonts w:ascii="Calibri" w:hAnsi="Calibri"/>
              </w:rPr>
              <w:t>Member dossiers grow richer with every interaction — irreplaceable after 2+ years</w:t>
            </w:r>
          </w:p>
        </w:tc>
        <w:tc>
          <w:tcPr>
            <w:tcW w:type="dxa" w:w="3024"/>
          </w:tcPr>
          <w:p>
            <w:r>
              <w:rPr>
                <w:rFonts w:ascii="Calibri" w:hAnsi="Calibri"/>
              </w:rPr>
              <w:t>2+ years</w:t>
            </w:r>
          </w:p>
        </w:tc>
      </w:tr>
      <w:tr>
        <w:tc>
          <w:tcPr>
            <w:tcW w:type="dxa" w:w="3024"/>
          </w:tcPr>
          <w:p>
            <w:r>
              <w:rPr>
                <w:rFonts w:ascii="Calibri" w:hAnsi="Calibri"/>
              </w:rPr>
              <w:t>AI infrastructure</w:t>
            </w:r>
          </w:p>
        </w:tc>
        <w:tc>
          <w:tcPr>
            <w:tcW w:type="dxa" w:w="3024"/>
          </w:tcPr>
          <w:p>
            <w:r>
              <w:rPr>
                <w:rFonts w:ascii="Calibri" w:hAnsi="Calibri"/>
              </w:rPr>
              <w:t>The OpenClaw agent stack requires significant technical expertise to build</w:t>
            </w:r>
          </w:p>
        </w:tc>
        <w:tc>
          <w:tcPr>
            <w:tcW w:type="dxa" w:w="3024"/>
          </w:tcPr>
          <w:p>
            <w:r>
              <w:rPr>
                <w:rFonts w:ascii="Calibri" w:hAnsi="Calibri"/>
              </w:rPr>
              <w:t>12–18 months</w:t>
            </w:r>
          </w:p>
        </w:tc>
      </w:tr>
      <w:tr>
        <w:tc>
          <w:tcPr>
            <w:tcW w:type="dxa" w:w="3024"/>
          </w:tcPr>
          <w:p>
            <w:r>
              <w:rPr>
                <w:rFonts w:ascii="Calibri" w:hAnsi="Calibri"/>
              </w:rPr>
              <w:t>Exclusive partnerships</w:t>
            </w:r>
          </w:p>
        </w:tc>
        <w:tc>
          <w:tcPr>
            <w:tcW w:type="dxa" w:w="3024"/>
          </w:tcPr>
          <w:p>
            <w:r>
              <w:rPr>
                <w:rFonts w:ascii="Calibri" w:hAnsi="Calibri"/>
              </w:rPr>
              <w:t>2-year lock-in with clinic and gym partners blocks referral network access</w:t>
            </w:r>
          </w:p>
        </w:tc>
        <w:tc>
          <w:tcPr>
            <w:tcW w:type="dxa" w:w="3024"/>
          </w:tcPr>
          <w:p>
            <w:r>
              <w:rPr>
                <w:rFonts w:ascii="Calibri" w:hAnsi="Calibri"/>
              </w:rPr>
              <w:t>24 months</w:t>
            </w:r>
          </w:p>
        </w:tc>
      </w:tr>
      <w:tr>
        <w:tc>
          <w:tcPr>
            <w:tcW w:type="dxa" w:w="3024"/>
          </w:tcPr>
          <w:p>
            <w:r>
              <w:rPr>
                <w:rFonts w:ascii="Calibri" w:hAnsi="Calibri"/>
              </w:rPr>
              <w:t>Personal trust</w:t>
            </w:r>
          </w:p>
        </w:tc>
        <w:tc>
          <w:tcPr>
            <w:tcW w:type="dxa" w:w="3024"/>
          </w:tcPr>
          <w:p>
            <w:r>
              <w:rPr>
                <w:rFonts w:ascii="Calibri" w:hAnsi="Calibri"/>
              </w:rPr>
              <w:t>The physician-member relationship is the primary retention driver — irreplaceable</w:t>
            </w:r>
          </w:p>
        </w:tc>
        <w:tc>
          <w:tcPr>
            <w:tcW w:type="dxa" w:w="3024"/>
          </w:tcPr>
          <w:p>
            <w:r>
              <w:rPr>
                <w:rFonts w:ascii="Calibri" w:hAnsi="Calibri"/>
              </w:rPr>
              <w:t>Irreplaceable</w:t>
            </w:r>
          </w:p>
        </w:tc>
      </w:tr>
    </w:tbl>
    <w:p>
      <w:r>
        <w:br w:type="page"/>
      </w:r>
    </w:p>
    <w:p>
      <w:pPr>
        <w:pStyle w:val="Heading1"/>
      </w:pPr>
      <w:r>
        <w:rPr>
          <w:rFonts w:ascii="Calibri" w:hAnsi="Calibri"/>
          <w:color w:val="1A1A1A"/>
        </w:rPr>
        <w:t>9. Regulatory &amp; Legal Framework</w:t>
      </w:r>
    </w:p>
    <w:p>
      <w:pPr>
        <w:pStyle w:val="Heading2"/>
      </w:pPr>
      <w:r>
        <w:rPr>
          <w:rFonts w:ascii="Calibri" w:hAnsi="Calibri"/>
          <w:color w:val="1A1A1A"/>
        </w:rPr>
        <w:t>9.1  Practice Structure: Helfrivat</w:t>
      </w:r>
    </w:p>
    <w:p>
      <w:r>
        <w:rPr>
          <w:rFonts w:ascii="Calibri" w:hAnsi="Calibri"/>
          <w:b w:val="0"/>
          <w:i w:val="0"/>
          <w:sz w:val="21"/>
        </w:rPr>
        <w:t xml:space="preserve">The practice operates as a </w:t>
      </w:r>
      <w:r>
        <w:rPr>
          <w:rFonts w:ascii="Calibri" w:hAnsi="Calibri"/>
          <w:b w:val="0"/>
          <w:i/>
          <w:sz w:val="21"/>
        </w:rPr>
        <w:t>hjelprivat praksis</w:t>
      </w:r>
      <w:r>
        <w:rPr>
          <w:rFonts w:ascii="Calibri" w:hAnsi="Calibri"/>
          <w:b w:val="0"/>
          <w:i w:val="0"/>
          <w:sz w:val="21"/>
        </w:rPr>
        <w:t xml:space="preserve"> — fully private, no public funding, no trygderefusjon. Patients pay 100% out-of-pocket. No Helfo registration required. Full pricing freedom. No normaltariff obligations.</w:t>
      </w:r>
    </w:p>
    <w:p/>
    <w:p>
      <w:pPr>
        <w:pStyle w:val="Heading2"/>
      </w:pPr>
      <w:r>
        <w:t>9.2  The Legeforeningen Clinical Indication Norm</w:t>
      </w:r>
    </w:p>
    <w:p>
      <w:pPr/>
      <w:r>
        <w:t>Investors will raise this: Legeforeningen's norm requires documented clinical indication before ordering tests or prescribing treatments. It is currently in force and must be addressed proactively.</w:t>
      </w:r>
    </w:p>
    <w:p>
      <w:pPr/>
      <w:r>
        <w:t>The norm is not incompatible with the concierge model — but it requires disciplined documentation. Every test order must be tied to a documented clinical rationale. The pilot phase will stress-test all documentation workflows before scale-up.</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Requirement</w:t>
            </w:r>
          </w:p>
        </w:tc>
        <w:tc>
          <w:tcPr>
            <w:tcW w:type="dxa" w:w="3024"/>
          </w:tcPr>
          <w:p>
            <w:r>
              <w:rPr>
                <w:b/>
              </w:rPr>
              <w:t>Current Status</w:t>
            </w:r>
          </w:p>
        </w:tc>
        <w:tc>
          <w:tcPr>
            <w:tcW w:type="dxa" w:w="3024"/>
          </w:tcPr>
          <w:p>
            <w:r>
              <w:rPr>
                <w:b/>
              </w:rPr>
              <w:t>Mitigation Strategy</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Clinical indication before testing</w:t>
            </w:r>
          </w:p>
        </w:tc>
        <w:tc>
          <w:tcPr>
            <w:tcW w:type="dxa" w:w="3024"/>
          </w:tcPr>
          <w:p>
            <w:r>
              <w:t>In force — Legeforeningen norm</w:t>
            </w:r>
          </w:p>
        </w:tc>
        <w:tc>
          <w:tcPr>
            <w:tcW w:type="dxa" w:w="3024"/>
          </w:tcPr>
          <w:p>
            <w:r>
              <w:t>All testing tied to documented clinical rationale; intake questionnaire establishes baseline indication</w:t>
            </w:r>
          </w:p>
        </w:tc>
      </w:tr>
      <w:tr>
        <w:tc>
          <w:tcPr>
            <w:tcW w:type="dxa" w:w="3024"/>
          </w:tcPr>
          <w:p>
            <w:r>
              <w:t>Documentation standard</w:t>
            </w:r>
          </w:p>
        </w:tc>
        <w:tc>
          <w:tcPr>
            <w:tcW w:type="dxa" w:w="3024"/>
          </w:tcPr>
          <w:p>
            <w:r>
              <w:t>SOAP notes per EPJ regulations</w:t>
            </w:r>
          </w:p>
        </w:tc>
        <w:tc>
          <w:tcPr>
            <w:tcW w:type="dxa" w:w="3024"/>
          </w:tcPr>
          <w:p>
            <w:r>
              <w:t>EPJ configured with concierge-specific templates; every test order documented</w:t>
            </w:r>
          </w:p>
        </w:tc>
      </w:tr>
      <w:tr>
        <w:tc>
          <w:tcPr>
            <w:tcW w:type="dxa" w:w="3024"/>
          </w:tcPr>
          <w:p>
            <w:r>
              <w:t>Regulatory oversight</w:t>
            </w:r>
          </w:p>
        </w:tc>
        <w:tc>
          <w:tcPr>
            <w:tcW w:type="dxa" w:w="3024"/>
          </w:tcPr>
          <w:p>
            <w:r>
              <w:t>Ragnhild as practising physician</w:t>
            </w:r>
          </w:p>
        </w:tc>
        <w:tc>
          <w:tcPr>
            <w:tcW w:type="dxa" w:w="3024"/>
          </w:tcPr>
          <w:p>
            <w:r>
              <w:t>Physician's medical authority and documentation are the practice's regulatory shield</w:t>
            </w:r>
          </w:p>
        </w:tc>
      </w:tr>
      <w:tr>
        <w:tc>
          <w:tcPr>
            <w:tcW w:type="dxa" w:w="3024"/>
          </w:tcPr>
          <w:p>
            <w:r>
              <w:t>Pre-launch legal review</w:t>
            </w:r>
          </w:p>
        </w:tc>
        <w:tc>
          <w:tcPr>
            <w:tcW w:type="dxa" w:w="3024"/>
          </w:tcPr>
          <w:p>
            <w:r>
              <w:t>Strongly recommended</w:t>
            </w:r>
          </w:p>
        </w:tc>
        <w:tc>
          <w:tcPr>
            <w:tcW w:type="dxa" w:w="3024"/>
          </w:tcPr>
          <w:p>
            <w:r>
              <w:t>Engage Norwegian healthcare law specialist before onboarding the first member</w:t>
            </w:r>
          </w:p>
        </w:tc>
      </w:tr>
    </w:tbl>
    <w:p>
      <w:pPr/>
    </w:p>
    <w:p>
      <w:pPr>
        <w:pStyle w:val="Heading2"/>
      </w:pPr>
      <w:r>
        <w:t>9.3  Registration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Requirement</w:t>
            </w:r>
          </w:p>
        </w:tc>
        <w:tc>
          <w:tcPr>
            <w:tcW w:type="dxa" w:w="3024"/>
          </w:tcPr>
          <w:p>
            <w:r>
              <w:rPr>
                <w:rFonts w:ascii="Calibri" w:hAnsi="Calibri"/>
                <w:b/>
              </w:rPr>
              <w:t>Details</w:t>
            </w:r>
          </w:p>
        </w:tc>
        <w:tc>
          <w:tcPr>
            <w:tcW w:type="dxa" w:w="3024"/>
          </w:tcPr>
          <w:p>
            <w:r>
              <w:rPr>
                <w:rFonts w:ascii="Calibri" w:hAnsi="Calibri"/>
                <w:b/>
              </w:rPr>
              <w:t>Timeline</w:t>
            </w:r>
          </w:p>
        </w:tc>
      </w:tr>
      <w:tr>
        <w:tc>
          <w:tcPr>
            <w:tcW w:type="dxa" w:w="3024"/>
          </w:tcPr>
          <w:p>
            <w:r>
              <w:rPr>
                <w:rFonts w:ascii="Calibri" w:hAnsi="Calibri"/>
              </w:rPr>
              <w:t>Business Entity</w:t>
            </w:r>
          </w:p>
        </w:tc>
        <w:tc>
          <w:tcPr>
            <w:tcW w:type="dxa" w:w="3024"/>
          </w:tcPr>
          <w:p>
            <w:r>
              <w:rPr>
                <w:rFonts w:ascii="Calibri" w:hAnsi="Calibri"/>
              </w:rPr>
              <w:t>Register AS or ENK via Altinn</w:t>
            </w:r>
          </w:p>
        </w:tc>
        <w:tc>
          <w:tcPr>
            <w:tcW w:type="dxa" w:w="3024"/>
          </w:tcPr>
          <w:p>
            <w:r>
              <w:rPr>
                <w:rFonts w:ascii="Calibri" w:hAnsi="Calibri"/>
              </w:rPr>
              <w:t>Week 1</w:t>
            </w:r>
          </w:p>
        </w:tc>
      </w:tr>
      <w:tr>
        <w:tc>
          <w:tcPr>
            <w:tcW w:type="dxa" w:w="3024"/>
          </w:tcPr>
          <w:p>
            <w:r>
              <w:rPr>
                <w:rFonts w:ascii="Calibri" w:hAnsi="Calibri"/>
              </w:rPr>
              <w:t>Municipality Notification</w:t>
            </w:r>
          </w:p>
        </w:tc>
        <w:tc>
          <w:tcPr>
            <w:tcW w:type="dxa" w:w="3024"/>
          </w:tcPr>
          <w:p>
            <w:r>
              <w:rPr>
                <w:rFonts w:ascii="Calibri" w:hAnsi="Calibri"/>
              </w:rPr>
              <w:t>Notify kommune: name, address, size, financing model</w:t>
            </w:r>
          </w:p>
        </w:tc>
        <w:tc>
          <w:tcPr>
            <w:tcW w:type="dxa" w:w="3024"/>
          </w:tcPr>
          <w:p>
            <w:r>
              <w:rPr>
                <w:rFonts w:ascii="Calibri" w:hAnsi="Calibri"/>
              </w:rPr>
              <w:t>Week 1–2</w:t>
            </w:r>
          </w:p>
        </w:tc>
      </w:tr>
      <w:tr>
        <w:tc>
          <w:tcPr>
            <w:tcW w:type="dxa" w:w="3024"/>
          </w:tcPr>
          <w:p>
            <w:r>
              <w:rPr>
                <w:rFonts w:ascii="Calibri" w:hAnsi="Calibri"/>
              </w:rPr>
              <w:t>Employer Notification</w:t>
            </w:r>
          </w:p>
        </w:tc>
        <w:tc>
          <w:tcPr>
            <w:tcW w:type="dxa" w:w="3024"/>
          </w:tcPr>
          <w:p>
            <w:r>
              <w:rPr>
                <w:rFonts w:ascii="Calibri" w:hAnsi="Calibri"/>
              </w:rPr>
              <w:t>Inform municipality of secondary commercial activity</w:t>
            </w:r>
          </w:p>
        </w:tc>
        <w:tc>
          <w:tcPr>
            <w:tcW w:type="dxa" w:w="3024"/>
          </w:tcPr>
          <w:p>
            <w:r>
              <w:rPr>
                <w:rFonts w:ascii="Calibri" w:hAnsi="Calibri"/>
              </w:rPr>
              <w:t>Week 1</w:t>
            </w:r>
          </w:p>
        </w:tc>
      </w:tr>
      <w:tr>
        <w:tc>
          <w:tcPr>
            <w:tcW w:type="dxa" w:w="3024"/>
          </w:tcPr>
          <w:p>
            <w:r>
              <w:rPr>
                <w:rFonts w:ascii="Calibri" w:hAnsi="Calibri"/>
              </w:rPr>
              <w:t>NPE Registration</w:t>
            </w:r>
          </w:p>
        </w:tc>
        <w:tc>
          <w:tcPr>
            <w:tcW w:type="dxa" w:w="3024"/>
          </w:tcPr>
          <w:p>
            <w:r>
              <w:rPr>
                <w:rFonts w:ascii="Calibri" w:hAnsi="Calibri"/>
              </w:rPr>
              <w:t>Notify Norsk pasientskadeerstatning before first patient (pasientskadeloven §8)</w:t>
            </w:r>
          </w:p>
        </w:tc>
        <w:tc>
          <w:tcPr>
            <w:tcW w:type="dxa" w:w="3024"/>
          </w:tcPr>
          <w:p>
            <w:r>
              <w:rPr>
                <w:rFonts w:ascii="Calibri" w:hAnsi="Calibri"/>
              </w:rPr>
              <w:t>Before first patient</w:t>
            </w:r>
          </w:p>
        </w:tc>
      </w:tr>
      <w:tr>
        <w:tc>
          <w:tcPr>
            <w:tcW w:type="dxa" w:w="3024"/>
          </w:tcPr>
          <w:p>
            <w:r>
              <w:rPr>
                <w:rFonts w:ascii="Calibri" w:hAnsi="Calibri"/>
              </w:rPr>
              <w:t>EPJ System</w:t>
            </w:r>
          </w:p>
        </w:tc>
        <w:tc>
          <w:tcPr>
            <w:tcW w:type="dxa" w:w="3024"/>
          </w:tcPr>
          <w:p>
            <w:r>
              <w:rPr>
                <w:rFonts w:ascii="Calibri" w:hAnsi="Calibri"/>
              </w:rPr>
              <w:t>Compliant electronic patient journal per pasientjournal-forskrift §4</w:t>
            </w:r>
          </w:p>
        </w:tc>
        <w:tc>
          <w:tcPr>
            <w:tcW w:type="dxa" w:w="3024"/>
          </w:tcPr>
          <w:p>
            <w:r>
              <w:rPr>
                <w:rFonts w:ascii="Calibri" w:hAnsi="Calibri"/>
              </w:rPr>
              <w:t>Week 2–4</w:t>
            </w:r>
          </w:p>
        </w:tc>
      </w:tr>
      <w:tr>
        <w:tc>
          <w:tcPr>
            <w:tcW w:type="dxa" w:w="3024"/>
          </w:tcPr>
          <w:p>
            <w:r>
              <w:rPr>
                <w:rFonts w:ascii="Calibri" w:hAnsi="Calibri"/>
              </w:rPr>
              <w:t>Professional Insurance</w:t>
            </w:r>
          </w:p>
        </w:tc>
        <w:tc>
          <w:tcPr>
            <w:tcW w:type="dxa" w:w="3024"/>
          </w:tcPr>
          <w:p>
            <w:r>
              <w:rPr>
                <w:rFonts w:ascii="Calibri" w:hAnsi="Calibri"/>
              </w:rPr>
              <w:t>Ansvarsforsikring</w:t>
            </w:r>
          </w:p>
        </w:tc>
        <w:tc>
          <w:tcPr>
            <w:tcW w:type="dxa" w:w="3024"/>
          </w:tcPr>
          <w:p>
            <w:r>
              <w:rPr>
                <w:rFonts w:ascii="Calibri" w:hAnsi="Calibri"/>
              </w:rPr>
              <w:t>Week 1–2</w:t>
            </w:r>
          </w:p>
        </w:tc>
      </w:tr>
    </w:tbl>
    <w:p>
      <w:r>
        <w:br w:type="page"/>
      </w:r>
    </w:p>
    <w:p>
      <w:pPr>
        <w:pStyle w:val="Heading1"/>
      </w:pPr>
      <w:r>
        <w:rPr>
          <w:rFonts w:ascii="Calibri" w:hAnsi="Calibri"/>
          <w:color w:val="1A1A1A"/>
        </w:rPr>
        <w:t>10. Member Retention Strategy</w:t>
      </w:r>
    </w:p>
    <w:p>
      <w:r>
        <w:rPr>
          <w:rFonts w:ascii="Calibri" w:hAnsi="Calibri"/>
          <w:b w:val="0"/>
          <w:i w:val="0"/>
          <w:sz w:val="21"/>
        </w:rPr>
        <w:t>Retaining a member is worth NOK 30,000–120,000 per year. The retention framework is built around four principles: demonstrate ongoing value, create commitment anchors, reduce friction to staying, and make leaving feel like a genuine loss.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Strategy</w:t>
            </w:r>
          </w:p>
        </w:tc>
        <w:tc>
          <w:tcPr>
            <w:tcW w:type="dxa" w:w="3024"/>
          </w:tcPr>
          <w:p>
            <w:r>
              <w:rPr>
                <w:rFonts w:ascii="Calibri" w:hAnsi="Calibri"/>
                <w:b/>
              </w:rPr>
              <w:t>Mechanism</w:t>
            </w:r>
          </w:p>
        </w:tc>
        <w:tc>
          <w:tcPr>
            <w:tcW w:type="dxa" w:w="3024"/>
          </w:tcPr>
          <w:p>
            <w:r>
              <w:rPr>
                <w:rFonts w:ascii="Calibri" w:hAnsi="Calibri"/>
                <w:b/>
              </w:rPr>
              <w:t>Target Metric</w:t>
            </w:r>
          </w:p>
        </w:tc>
      </w:tr>
      <w:tr>
        <w:tc>
          <w:tcPr>
            <w:tcW w:type="dxa" w:w="3024"/>
          </w:tcPr>
          <w:p>
            <w:r>
              <w:rPr>
                <w:rFonts w:ascii="Calibri" w:hAnsi="Calibri"/>
              </w:rPr>
              <w:t>Annual Health Roadmap</w:t>
            </w:r>
          </w:p>
        </w:tc>
        <w:tc>
          <w:tcPr>
            <w:tcW w:type="dxa" w:w="3024"/>
          </w:tcPr>
          <w:p>
            <w:r>
              <w:rPr>
                <w:rFonts w:ascii="Calibri" w:hAnsi="Calibri"/>
              </w:rPr>
              <w:t>90-min anniversary review: progress, goals, risk update</w:t>
            </w:r>
          </w:p>
        </w:tc>
        <w:tc>
          <w:tcPr>
            <w:tcW w:type="dxa" w:w="3024"/>
          </w:tcPr>
          <w:p>
            <w:r>
              <w:rPr>
                <w:rFonts w:ascii="Calibri" w:hAnsi="Calibri"/>
              </w:rPr>
              <w:t>Roadmap completion &gt;90%</w:t>
            </w:r>
          </w:p>
        </w:tc>
      </w:tr>
      <w:tr>
        <w:tc>
          <w:tcPr>
            <w:tcW w:type="dxa" w:w="3024"/>
          </w:tcPr>
          <w:p>
            <w:r>
              <w:rPr>
                <w:rFonts w:ascii="Calibri" w:hAnsi="Calibri"/>
              </w:rPr>
              <w:t>Quarterly 'Health Win'</w:t>
            </w:r>
          </w:p>
        </w:tc>
        <w:tc>
          <w:tcPr>
            <w:tcW w:type="dxa" w:w="3024"/>
          </w:tcPr>
          <w:p>
            <w:r>
              <w:rPr>
                <w:rFonts w:ascii="Calibri" w:hAnsi="Calibri"/>
              </w:rPr>
              <w:t>One concrete data-driven improvement highlighted per quarter</w:t>
            </w:r>
          </w:p>
        </w:tc>
        <w:tc>
          <w:tcPr>
            <w:tcW w:type="dxa" w:w="3024"/>
          </w:tcPr>
          <w:p>
            <w:r>
              <w:rPr>
                <w:rFonts w:ascii="Calibri" w:hAnsi="Calibri"/>
              </w:rPr>
              <w:t>Engagement score &gt;80%</w:t>
            </w:r>
          </w:p>
        </w:tc>
      </w:tr>
      <w:tr>
        <w:tc>
          <w:tcPr>
            <w:tcW w:type="dxa" w:w="3024"/>
          </w:tcPr>
          <w:p>
            <w:r>
              <w:rPr>
                <w:rFonts w:ascii="Calibri" w:hAnsi="Calibri"/>
              </w:rPr>
              <w:t>Engagement Scoring</w:t>
            </w:r>
          </w:p>
        </w:tc>
        <w:tc>
          <w:tcPr>
            <w:tcW w:type="dxa" w:w="3024"/>
          </w:tcPr>
          <w:p>
            <w:r>
              <w:rPr>
                <w:rFonts w:ascii="Calibri" w:hAnsi="Calibri"/>
              </w:rPr>
              <w:t>Track message frequency, consult attendance, wearable sync, lab completion</w:t>
            </w:r>
          </w:p>
        </w:tc>
        <w:tc>
          <w:tcPr>
            <w:tcW w:type="dxa" w:w="3024"/>
          </w:tcPr>
          <w:p>
            <w:r>
              <w:rPr>
                <w:rFonts w:ascii="Calibri" w:hAnsi="Calibri"/>
              </w:rPr>
              <w:t>Monthly churn &lt;2%</w:t>
            </w:r>
          </w:p>
        </w:tc>
      </w:tr>
      <w:tr>
        <w:tc>
          <w:tcPr>
            <w:tcW w:type="dxa" w:w="3024"/>
          </w:tcPr>
          <w:p>
            <w:r>
              <w:rPr>
                <w:rFonts w:ascii="Calibri" w:hAnsi="Calibri"/>
              </w:rPr>
              <w:t>Pause Option</w:t>
            </w:r>
          </w:p>
        </w:tc>
        <w:tc>
          <w:tcPr>
            <w:tcW w:type="dxa" w:w="3024"/>
          </w:tcPr>
          <w:p>
            <w:r>
              <w:rPr>
                <w:rFonts w:ascii="Calibri" w:hAnsi="Calibri"/>
              </w:rPr>
              <w:t>1–3 month pause available (max 1/year); full dossier maintained</w:t>
            </w:r>
          </w:p>
        </w:tc>
        <w:tc>
          <w:tcPr>
            <w:tcW w:type="dxa" w:w="3024"/>
          </w:tcPr>
          <w:p>
            <w:r>
              <w:rPr>
                <w:rFonts w:ascii="Calibri" w:hAnsi="Calibri"/>
              </w:rPr>
              <w:t>Pause-to-resume &gt;70%</w:t>
            </w:r>
          </w:p>
        </w:tc>
      </w:tr>
      <w:tr>
        <w:tc>
          <w:tcPr>
            <w:tcW w:type="dxa" w:w="3024"/>
          </w:tcPr>
          <w:p>
            <w:r>
              <w:rPr>
                <w:rFonts w:ascii="Calibri" w:hAnsi="Calibri"/>
              </w:rPr>
              <w:t>Referral Incentive</w:t>
            </w:r>
          </w:p>
        </w:tc>
        <w:tc>
          <w:tcPr>
            <w:tcW w:type="dxa" w:w="3024"/>
          </w:tcPr>
          <w:p>
            <w:r>
              <w:rPr>
                <w:rFonts w:ascii="Calibri" w:hAnsi="Calibri"/>
              </w:rPr>
              <w:t>One free month per successful referral staying 3+ months</w:t>
            </w:r>
          </w:p>
        </w:tc>
        <w:tc>
          <w:tcPr>
            <w:tcW w:type="dxa" w:w="3024"/>
          </w:tcPr>
          <w:p>
            <w:r>
              <w:rPr>
                <w:rFonts w:ascii="Calibri" w:hAnsi="Calibri"/>
              </w:rPr>
              <w:t>Referral rate &gt;20%/year</w:t>
            </w:r>
          </w:p>
        </w:tc>
      </w:tr>
      <w:tr>
        <w:tc>
          <w:tcPr>
            <w:tcW w:type="dxa" w:w="3024"/>
          </w:tcPr>
          <w:p>
            <w:r>
              <w:rPr>
                <w:rFonts w:ascii="Calibri" w:hAnsi="Calibri"/>
              </w:rPr>
              <w:t>Annual Prepay Discount</w:t>
            </w:r>
          </w:p>
        </w:tc>
        <w:tc>
          <w:tcPr>
            <w:tcW w:type="dxa" w:w="3024"/>
          </w:tcPr>
          <w:p>
            <w:r>
              <w:rPr>
                <w:rFonts w:ascii="Calibri" w:hAnsi="Calibri"/>
              </w:rPr>
              <w:t>10% off for 12-month upfront commitment</w:t>
            </w:r>
          </w:p>
        </w:tc>
        <w:tc>
          <w:tcPr>
            <w:tcW w:type="dxa" w:w="3024"/>
          </w:tcPr>
          <w:p>
            <w:r>
              <w:rPr>
                <w:rFonts w:ascii="Calibri" w:hAnsi="Calibri"/>
              </w:rPr>
              <w:t>Annual retention &gt;85%</w:t>
            </w:r>
          </w:p>
        </w:tc>
      </w:tr>
    </w:tbl>
    <w:p>
      <w:r>
        <w:br w:type="page"/>
      </w:r>
    </w:p>
    <w:p>
      <w:pPr>
        <w:pStyle w:val="Heading1"/>
      </w:pPr>
      <w:r>
        <w:rPr>
          <w:rFonts w:ascii="Calibri" w:hAnsi="Calibri"/>
          <w:color w:val="1A1A1A"/>
        </w:rPr>
        <w:t>11. Funding &amp; Investment Options</w:t>
      </w:r>
    </w:p>
    <w:p>
      <w:r>
        <w:rPr>
          <w:rFonts w:ascii="Calibri" w:hAnsi="Calibri"/>
          <w:b w:val="0"/>
          <w:i w:val="0"/>
          <w:sz w:val="21"/>
        </w:rPr>
        <w:t>Din Personlige Helsesjef is operationally lean — setup costs of NOK 150,000–300,000 and a break-even of 15–18 members mean it can be self-funded by a physician with modest personal capital. However, several Norwegian and European funding options can accelerate growth and de-risk the investment.</w:t>
      </w:r>
    </w:p>
    <w:p/>
    <w:p>
      <w:pPr>
        <w:pStyle w:val="Heading2"/>
      </w:pPr>
      <w:r>
        <w:rPr>
          <w:rFonts w:ascii="Calibri" w:hAnsi="Calibri"/>
          <w:color w:val="1A1A1A"/>
        </w:rPr>
        <w:t>11.1  Innovation Norway (Innovasjon Norge)</w:t>
      </w:r>
    </w:p>
    <w:p>
      <w:r>
        <w:rPr>
          <w:rFonts w:ascii="Calibri" w:hAnsi="Calibri"/>
          <w:b w:val="0"/>
          <w:i w:val="0"/>
          <w:sz w:val="21"/>
        </w:rPr>
        <w:t>Innovation Norway is the primary government instrument for supporting innovative businesses. Frame the practice as Norway's first AI-native health platform — not just a GP practice. The technology angle (locally-hosted LLM, real-time biomarker monitoring, AI agent infrastructure) is what secures funding. Innovation Norway funds technology, not services; position accordingly.</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Startup Grant (Etablerertilskudd)</w:t>
            </w:r>
          </w:p>
        </w:tc>
        <w:tc>
          <w:tcPr>
            <w:tcW w:type="dxa" w:w="3024"/>
          </w:tcPr>
          <w:p>
            <w:r>
              <w:rPr>
                <w:rFonts w:ascii="Calibri" w:hAnsi="Calibri"/>
              </w:rPr>
              <w:t>NOK 500,000–900,000</w:t>
            </w:r>
          </w:p>
        </w:tc>
        <w:tc>
          <w:tcPr>
            <w:tcW w:type="dxa" w:w="3024"/>
          </w:tcPr>
          <w:p>
            <w:r>
              <w:rPr>
                <w:rFonts w:ascii="Calibri" w:hAnsi="Calibri"/>
              </w:rPr>
              <w:t>Strong — AI-native medical practice is novel; clear market gap</w:t>
            </w:r>
          </w:p>
        </w:tc>
      </w:tr>
      <w:tr>
        <w:tc>
          <w:tcPr>
            <w:tcW w:type="dxa" w:w="3024"/>
          </w:tcPr>
          <w:p>
            <w:r>
              <w:rPr>
                <w:rFonts w:ascii="Calibri" w:hAnsi="Calibri"/>
              </w:rPr>
              <w:t>Innovation Loan (Innovasjonslån)</w:t>
            </w:r>
          </w:p>
        </w:tc>
        <w:tc>
          <w:tcPr>
            <w:tcW w:type="dxa" w:w="3024"/>
          </w:tcPr>
          <w:p>
            <w:r>
              <w:rPr>
                <w:rFonts w:ascii="Calibri" w:hAnsi="Calibri"/>
              </w:rPr>
              <w:t>NOK 500,000–50M</w:t>
            </w:r>
          </w:p>
        </w:tc>
        <w:tc>
          <w:tcPr>
            <w:tcW w:type="dxa" w:w="3024"/>
          </w:tcPr>
          <w:p>
            <w:r>
              <w:rPr>
                <w:rFonts w:ascii="Calibri" w:hAnsi="Calibri"/>
              </w:rPr>
              <w:t>Moderate — de-risks AI infrastructure investment</w:t>
            </w:r>
          </w:p>
        </w:tc>
      </w:tr>
      <w:tr>
        <w:tc>
          <w:tcPr>
            <w:tcW w:type="dxa" w:w="3024"/>
          </w:tcPr>
          <w:p>
            <w:r>
              <w:rPr>
                <w:rFonts w:ascii="Calibri" w:hAnsi="Calibri"/>
              </w:rPr>
              <w:t>IFU/OFU (Industrial R&amp;D)</w:t>
            </w:r>
          </w:p>
        </w:tc>
        <w:tc>
          <w:tcPr>
            <w:tcW w:type="dxa" w:w="3024"/>
          </w:tcPr>
          <w:p>
            <w:r>
              <w:rPr>
                <w:rFonts w:ascii="Calibri" w:hAnsi="Calibri"/>
              </w:rPr>
              <w:t>Up to 50% of R&amp;D costs</w:t>
            </w:r>
          </w:p>
        </w:tc>
        <w:tc>
          <w:tcPr>
            <w:tcW w:type="dxa" w:w="3024"/>
          </w:tcPr>
          <w:p>
            <w:r>
              <w:rPr>
                <w:rFonts w:ascii="Calibri" w:hAnsi="Calibri"/>
              </w:rPr>
              <w:t>Strong — if co-developing AI with a clinic or hospital partner</w:t>
            </w:r>
          </w:p>
        </w:tc>
      </w:tr>
      <w:tr>
        <w:tc>
          <w:tcPr>
            <w:tcW w:type="dxa" w:w="3024"/>
          </w:tcPr>
          <w:p>
            <w:r>
              <w:rPr>
                <w:rFonts w:ascii="Calibri" w:hAnsi="Calibri"/>
              </w:rPr>
              <w:t>Market Introduction Support</w:t>
            </w:r>
          </w:p>
        </w:tc>
        <w:tc>
          <w:tcPr>
            <w:tcW w:type="dxa" w:w="3024"/>
          </w:tcPr>
          <w:p>
            <w:r>
              <w:rPr>
                <w:rFonts w:ascii="Calibri" w:hAnsi="Calibri"/>
              </w:rPr>
              <w:t>NOK 100,000–500,000</w:t>
            </w:r>
          </w:p>
        </w:tc>
        <w:tc>
          <w:tcPr>
            <w:tcW w:type="dxa" w:w="3024"/>
          </w:tcPr>
          <w:p>
            <w:r>
              <w:rPr>
                <w:rFonts w:ascii="Calibri" w:hAnsi="Calibri"/>
              </w:rPr>
              <w:t>Moderate — targeting Norwegian corporate market systematically</w:t>
            </w:r>
          </w:p>
        </w:tc>
      </w:tr>
    </w:tbl>
    <w:p/>
    <w:p>
      <w:pPr>
        <w:pStyle w:val="Heading2"/>
      </w:pPr>
      <w:r>
        <w:rPr>
          <w:rFonts w:ascii="Calibri" w:hAnsi="Calibri"/>
          <w:color w:val="1A1A1A"/>
        </w:rPr>
        <w:t>11.2  Research Council of Norway (Norges Forskningsråd)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BIA (User-Driven Research)</w:t>
            </w:r>
          </w:p>
        </w:tc>
        <w:tc>
          <w:tcPr>
            <w:tcW w:type="dxa" w:w="3024"/>
          </w:tcPr>
          <w:p>
            <w:r>
              <w:rPr>
                <w:rFonts w:ascii="Calibri" w:hAnsi="Calibri"/>
              </w:rPr>
              <w:t>NOK 1–10M over 3 years</w:t>
            </w:r>
          </w:p>
        </w:tc>
        <w:tc>
          <w:tcPr>
            <w:tcW w:type="dxa" w:w="3024"/>
          </w:tcPr>
          <w:p>
            <w:r>
              <w:rPr>
                <w:rFonts w:ascii="Calibri" w:hAnsi="Calibri"/>
              </w:rPr>
              <w:t>Strong — AI in personalised medicine is a priority area</w:t>
            </w:r>
          </w:p>
        </w:tc>
      </w:tr>
      <w:tr>
        <w:tc>
          <w:tcPr>
            <w:tcW w:type="dxa" w:w="3024"/>
          </w:tcPr>
          <w:p>
            <w:r>
              <w:rPr>
                <w:rFonts w:ascii="Calibri" w:hAnsi="Calibri"/>
              </w:rPr>
              <w:t>HelseOmsorg21 initiatives</w:t>
            </w:r>
          </w:p>
        </w:tc>
        <w:tc>
          <w:tcPr>
            <w:tcW w:type="dxa" w:w="3024"/>
          </w:tcPr>
          <w:p>
            <w:r>
              <w:rPr>
                <w:rFonts w:ascii="Calibri" w:hAnsi="Calibri"/>
              </w:rPr>
              <w:t>Variable</w:t>
            </w:r>
          </w:p>
        </w:tc>
        <w:tc>
          <w:tcPr>
            <w:tcW w:type="dxa" w:w="3024"/>
          </w:tcPr>
          <w:p>
            <w:r>
              <w:rPr>
                <w:rFonts w:ascii="Calibri" w:hAnsi="Calibri"/>
              </w:rPr>
              <w:t>Moderate — frame as contribution to Norwegian health tech leadership</w:t>
            </w:r>
          </w:p>
        </w:tc>
      </w:tr>
    </w:tbl>
    <w:p/>
    <w:p>
      <w:pPr>
        <w:pStyle w:val="Heading2"/>
      </w:pPr>
      <w:r>
        <w:rPr>
          <w:rFonts w:ascii="Calibri" w:hAnsi="Calibri"/>
          <w:color w:val="1A1A1A"/>
        </w:rPr>
        <w:t>11.3  Oslo Business Region &amp; Local Ecosystem</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Entity</w:t>
            </w:r>
          </w:p>
        </w:tc>
        <w:tc>
          <w:tcPr>
            <w:tcW w:type="dxa" w:w="3024"/>
          </w:tcPr>
          <w:p>
            <w:r>
              <w:rPr>
                <w:rFonts w:ascii="Calibri" w:hAnsi="Calibri"/>
                <w:b/>
              </w:rPr>
              <w:t>Support Type</w:t>
            </w:r>
          </w:p>
        </w:tc>
        <w:tc>
          <w:tcPr>
            <w:tcW w:type="dxa" w:w="3024"/>
          </w:tcPr>
          <w:p>
            <w:r>
              <w:rPr>
                <w:rFonts w:ascii="Calibri" w:hAnsi="Calibri"/>
                <w:b/>
              </w:rPr>
              <w:t>Fit</w:t>
            </w:r>
          </w:p>
        </w:tc>
      </w:tr>
      <w:tr>
        <w:tc>
          <w:tcPr>
            <w:tcW w:type="dxa" w:w="3024"/>
          </w:tcPr>
          <w:p>
            <w:r>
              <w:rPr>
                <w:rFonts w:ascii="Calibri" w:hAnsi="Calibri"/>
              </w:rPr>
              <w:t>Oslo Business Region</w:t>
            </w:r>
          </w:p>
        </w:tc>
        <w:tc>
          <w:tcPr>
            <w:tcW w:type="dxa" w:w="3024"/>
          </w:tcPr>
          <w:p>
            <w:r>
              <w:rPr>
                <w:rFonts w:ascii="Calibri" w:hAnsi="Calibri"/>
              </w:rPr>
              <w:t>Mentorship, network, introductions to investors</w:t>
            </w:r>
          </w:p>
        </w:tc>
        <w:tc>
          <w:tcPr>
            <w:tcW w:type="dxa" w:w="3024"/>
          </w:tcPr>
          <w:p>
            <w:r>
              <w:rPr>
                <w:rFonts w:ascii="Calibri" w:hAnsi="Calibri"/>
              </w:rPr>
              <w:t>High — Oslo-focused; health and tech sectors prioritised</w:t>
            </w:r>
          </w:p>
        </w:tc>
      </w:tr>
      <w:tr>
        <w:tc>
          <w:tcPr>
            <w:tcW w:type="dxa" w:w="3024"/>
          </w:tcPr>
          <w:p>
            <w:r>
              <w:rPr>
                <w:rFonts w:ascii="Calibri" w:hAnsi="Calibri"/>
              </w:rPr>
              <w:t>Oslo Cancer Cluster Innovation Park</w:t>
            </w:r>
          </w:p>
        </w:tc>
        <w:tc>
          <w:tcPr>
            <w:tcW w:type="dxa" w:w="3024"/>
          </w:tcPr>
          <w:p>
            <w:r>
              <w:rPr>
                <w:rFonts w:ascii="Calibri" w:hAnsi="Calibri"/>
              </w:rPr>
              <w:t>Co-location, network, AI-in-health partners</w:t>
            </w:r>
          </w:p>
        </w:tc>
        <w:tc>
          <w:tcPr>
            <w:tcW w:type="dxa" w:w="3024"/>
          </w:tcPr>
          <w:p>
            <w:r>
              <w:rPr>
                <w:rFonts w:ascii="Calibri" w:hAnsi="Calibri"/>
              </w:rPr>
              <w:t>Moderate — health sector focus</w:t>
            </w:r>
          </w:p>
        </w:tc>
      </w:tr>
      <w:tr>
        <w:tc>
          <w:tcPr>
            <w:tcW w:type="dxa" w:w="3024"/>
          </w:tcPr>
          <w:p>
            <w:r>
              <w:rPr>
                <w:rFonts w:ascii="Calibri" w:hAnsi="Calibri"/>
              </w:rPr>
              <w:t>Gründerskolen</w:t>
            </w:r>
          </w:p>
        </w:tc>
        <w:tc>
          <w:tcPr>
            <w:tcW w:type="dxa" w:w="3024"/>
          </w:tcPr>
          <w:p>
            <w:r>
              <w:rPr>
                <w:rFonts w:ascii="Calibri" w:hAnsi="Calibri"/>
              </w:rPr>
              <w:t>Training, network, alumni community</w:t>
            </w:r>
          </w:p>
        </w:tc>
        <w:tc>
          <w:tcPr>
            <w:tcW w:type="dxa" w:w="3024"/>
          </w:tcPr>
          <w:p>
            <w:r>
              <w:rPr>
                <w:rFonts w:ascii="Calibri" w:hAnsi="Calibri"/>
              </w:rPr>
              <w:t>Useful for business development</w:t>
            </w:r>
          </w:p>
        </w:tc>
      </w:tr>
    </w:tbl>
    <w:p/>
    <w:p>
      <w:pPr>
        <w:pStyle w:val="Heading2"/>
      </w:pPr>
      <w:r>
        <w:rPr>
          <w:rFonts w:ascii="Calibri" w:hAnsi="Calibri"/>
          <w:color w:val="1A1A1A"/>
        </w:rPr>
        <w:t>11.4  EU Innovation Funding</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Horizon Europe — EIC Accelerator</w:t>
            </w:r>
          </w:p>
        </w:tc>
        <w:tc>
          <w:tcPr>
            <w:tcW w:type="dxa" w:w="3024"/>
          </w:tcPr>
          <w:p>
            <w:r>
              <w:rPr>
                <w:rFonts w:ascii="Calibri" w:hAnsi="Calibri"/>
              </w:rPr>
              <w:t>Up to EUR 2.5M grant + EUR 15M equity</w:t>
            </w:r>
          </w:p>
        </w:tc>
        <w:tc>
          <w:tcPr>
            <w:tcW w:type="dxa" w:w="3024"/>
          </w:tcPr>
          <w:p>
            <w:r>
              <w:rPr>
                <w:rFonts w:ascii="Calibri" w:hAnsi="Calibri"/>
              </w:rPr>
              <w:t>Strong if practice scales to a replicable platform product</w:t>
            </w:r>
          </w:p>
        </w:tc>
      </w:tr>
      <w:tr>
        <w:tc>
          <w:tcPr>
            <w:tcW w:type="dxa" w:w="3024"/>
          </w:tcPr>
          <w:p>
            <w:r>
              <w:rPr>
                <w:rFonts w:ascii="Calibri" w:hAnsi="Calibri"/>
              </w:rPr>
              <w:t>EIC Pathfinder</w:t>
            </w:r>
          </w:p>
        </w:tc>
        <w:tc>
          <w:tcPr>
            <w:tcW w:type="dxa" w:w="3024"/>
          </w:tcPr>
          <w:p>
            <w:r>
              <w:rPr>
                <w:rFonts w:ascii="Calibri" w:hAnsi="Calibri"/>
              </w:rPr>
              <w:t>Up to EUR 4M</w:t>
            </w:r>
          </w:p>
        </w:tc>
        <w:tc>
          <w:tcPr>
            <w:tcW w:type="dxa" w:w="3024"/>
          </w:tcPr>
          <w:p>
            <w:r>
              <w:rPr>
                <w:rFonts w:ascii="Calibri" w:hAnsi="Calibri"/>
              </w:rPr>
              <w:t>Earlier stage; suitable for AI-in-medicine research component</w:t>
            </w:r>
          </w:p>
        </w:tc>
      </w:tr>
      <w:tr>
        <w:tc>
          <w:tcPr>
            <w:tcW w:type="dxa" w:w="3024"/>
          </w:tcPr>
          <w:p>
            <w:r>
              <w:rPr>
                <w:rFonts w:ascii="Calibri" w:hAnsi="Calibri"/>
              </w:rPr>
              <w:t>Eurostars (bilateral R&amp;D)</w:t>
            </w:r>
          </w:p>
        </w:tc>
        <w:tc>
          <w:tcPr>
            <w:tcW w:type="dxa" w:w="3024"/>
          </w:tcPr>
          <w:p>
            <w:r>
              <w:rPr>
                <w:rFonts w:ascii="Calibri" w:hAnsi="Calibri"/>
              </w:rPr>
              <w:t>Up to EUR 2M</w:t>
            </w:r>
          </w:p>
        </w:tc>
        <w:tc>
          <w:tcPr>
            <w:tcW w:type="dxa" w:w="3024"/>
          </w:tcPr>
          <w:p>
            <w:r>
              <w:rPr>
                <w:rFonts w:ascii="Calibri" w:hAnsi="Calibri"/>
              </w:rPr>
              <w:t>Viable for AI development with an international partner</w:t>
            </w:r>
          </w:p>
        </w:tc>
      </w:tr>
      <w:tr>
        <w:tc>
          <w:tcPr>
            <w:tcW w:type="dxa" w:w="3024"/>
          </w:tcPr>
          <w:p>
            <w:r>
              <w:rPr>
                <w:rFonts w:ascii="Calibri" w:hAnsi="Calibri"/>
              </w:rPr>
              <w:t>EEA/Norway Grants — Health programme</w:t>
            </w:r>
          </w:p>
        </w:tc>
        <w:tc>
          <w:tcPr>
            <w:tcW w:type="dxa" w:w="3024"/>
          </w:tcPr>
          <w:p>
            <w:r>
              <w:rPr>
                <w:rFonts w:ascii="Calibri" w:hAnsi="Calibri"/>
              </w:rPr>
              <w:t>Variable</w:t>
            </w:r>
          </w:p>
        </w:tc>
        <w:tc>
          <w:tcPr>
            <w:tcW w:type="dxa" w:w="3024"/>
          </w:tcPr>
          <w:p>
            <w:r>
              <w:rPr>
                <w:rFonts w:ascii="Calibri" w:hAnsi="Calibri"/>
              </w:rPr>
              <w:t>Accessible for Norwegian SMEs; health innovation focus</w:t>
            </w:r>
          </w:p>
        </w:tc>
      </w:tr>
    </w:tbl>
    <w:p/>
    <w:p>
      <w:pPr>
        <w:pStyle w:val="Heading2"/>
      </w:pPr>
      <w:r>
        <w:rPr>
          <w:rFonts w:ascii="Calibri" w:hAnsi="Calibri"/>
          <w:color w:val="1A1A1A"/>
        </w:rPr>
        <w:t>11.5  Private Capital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Source</w:t>
            </w:r>
          </w:p>
        </w:tc>
        <w:tc>
          <w:tcPr>
            <w:tcW w:type="dxa" w:w="3024"/>
          </w:tcPr>
          <w:p>
            <w:r>
              <w:rPr>
                <w:rFonts w:ascii="Calibri" w:hAnsi="Calibri"/>
                <w:b/>
              </w:rPr>
              <w:t>Amount</w:t>
            </w:r>
          </w:p>
        </w:tc>
        <w:tc>
          <w:tcPr>
            <w:tcW w:type="dxa" w:w="3024"/>
          </w:tcPr>
          <w:p>
            <w:r>
              <w:rPr>
                <w:rFonts w:ascii="Calibri" w:hAnsi="Calibri"/>
                <w:b/>
              </w:rPr>
              <w:t>Considerations</w:t>
            </w:r>
          </w:p>
        </w:tc>
      </w:tr>
      <w:tr>
        <w:tc>
          <w:tcPr>
            <w:tcW w:type="dxa" w:w="3024"/>
          </w:tcPr>
          <w:p>
            <w:r>
              <w:rPr>
                <w:rFonts w:ascii="Calibri" w:hAnsi="Calibri"/>
              </w:rPr>
              <w:t>Angel investors / HNWIs</w:t>
            </w:r>
          </w:p>
        </w:tc>
        <w:tc>
          <w:tcPr>
            <w:tcW w:type="dxa" w:w="3024"/>
          </w:tcPr>
          <w:p>
            <w:r>
              <w:rPr>
                <w:rFonts w:ascii="Calibri" w:hAnsi="Calibri"/>
              </w:rPr>
              <w:t>NOK 500K–5M</w:t>
            </w:r>
          </w:p>
        </w:tc>
        <w:tc>
          <w:tcPr>
            <w:tcW w:type="dxa" w:w="3024"/>
          </w:tcPr>
          <w:p>
            <w:r>
              <w:rPr>
                <w:rFonts w:ascii="Calibri" w:hAnsi="Calibri"/>
              </w:rPr>
              <w:t>Oslo health and tech angels; personal network overlaps with member target</w:t>
            </w:r>
          </w:p>
        </w:tc>
      </w:tr>
      <w:tr>
        <w:tc>
          <w:tcPr>
            <w:tcW w:type="dxa" w:w="3024"/>
          </w:tcPr>
          <w:p>
            <w:r>
              <w:rPr>
                <w:rFonts w:ascii="Calibri" w:hAnsi="Calibri"/>
              </w:rPr>
              <w:t>Nordic health-tech VCs</w:t>
            </w:r>
          </w:p>
        </w:tc>
        <w:tc>
          <w:tcPr>
            <w:tcW w:type="dxa" w:w="3024"/>
          </w:tcPr>
          <w:p>
            <w:r>
              <w:rPr>
                <w:rFonts w:ascii="Calibri" w:hAnsi="Calibri"/>
              </w:rPr>
              <w:t>NOK 5–50M (Series A)</w:t>
            </w:r>
          </w:p>
        </w:tc>
        <w:tc>
          <w:tcPr>
            <w:tcW w:type="dxa" w:w="3024"/>
          </w:tcPr>
          <w:p>
            <w:r>
              <w:rPr>
                <w:rFonts w:ascii="Calibri" w:hAnsi="Calibri"/>
              </w:rPr>
              <w:t>Requires platform narrative and scalability proof; viable by Year 2–3</w:t>
            </w:r>
          </w:p>
        </w:tc>
      </w:tr>
      <w:tr>
        <w:tc>
          <w:tcPr>
            <w:tcW w:type="dxa" w:w="3024"/>
          </w:tcPr>
          <w:p>
            <w:r>
              <w:rPr>
                <w:rFonts w:ascii="Calibri" w:hAnsi="Calibri"/>
              </w:rPr>
              <w:t>Strategic investors (private clinic groups)</w:t>
            </w:r>
          </w:p>
        </w:tc>
        <w:tc>
          <w:tcPr>
            <w:tcW w:type="dxa" w:w="3024"/>
          </w:tcPr>
          <w:p>
            <w:r>
              <w:rPr>
                <w:rFonts w:ascii="Calibri" w:hAnsi="Calibri"/>
              </w:rPr>
              <w:t>Variable</w:t>
            </w:r>
          </w:p>
        </w:tc>
        <w:tc>
          <w:tcPr>
            <w:tcW w:type="dxa" w:w="3024"/>
          </w:tcPr>
          <w:p>
            <w:r>
              <w:rPr>
                <w:rFonts w:ascii="Calibri" w:hAnsi="Calibri"/>
              </w:rPr>
              <w:t>Aleris, Capio, Volvat — potential to acquire, partner, or license the AI model</w:t>
            </w:r>
          </w:p>
        </w:tc>
      </w:tr>
      <w:tr>
        <w:tc>
          <w:tcPr>
            <w:tcW w:type="dxa" w:w="3024"/>
          </w:tcPr>
          <w:p>
            <w:r>
              <w:rPr>
                <w:rFonts w:ascii="Calibri" w:hAnsi="Calibri"/>
              </w:rPr>
              <w:t>Family offices</w:t>
            </w:r>
          </w:p>
        </w:tc>
        <w:tc>
          <w:tcPr>
            <w:tcW w:type="dxa" w:w="3024"/>
          </w:tcPr>
          <w:p>
            <w:r>
              <w:rPr>
                <w:rFonts w:ascii="Calibri" w:hAnsi="Calibri"/>
              </w:rPr>
              <w:t>NOK 1–20M</w:t>
            </w:r>
          </w:p>
        </w:tc>
        <w:tc>
          <w:tcPr>
            <w:tcW w:type="dxa" w:w="3024"/>
          </w:tcPr>
          <w:p>
            <w:r>
              <w:rPr>
                <w:rFonts w:ascii="Calibri" w:hAnsi="Calibri"/>
              </w:rPr>
              <w:t>Several Oslo family offices active in health and wellness</w:t>
            </w:r>
          </w:p>
        </w:tc>
      </w:tr>
    </w:tbl>
    <w:p/>
    <w:p>
      <w:pPr>
        <w:pStyle w:val="Heading2"/>
      </w:pPr>
      <w:r>
        <w:rPr>
          <w:rFonts w:ascii="Calibri" w:hAnsi="Calibri"/>
          <w:color w:val="1A1A1A"/>
        </w:rPr>
        <w:t>11.6  Recommended Phased Approach</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Phase</w:t>
            </w:r>
          </w:p>
        </w:tc>
        <w:tc>
          <w:tcPr>
            <w:tcW w:type="dxa" w:w="3024"/>
          </w:tcPr>
          <w:p>
            <w:r>
              <w:rPr>
                <w:rFonts w:ascii="Calibri" w:hAnsi="Calibri"/>
                <w:b/>
              </w:rPr>
              <w:t>Recommended Approach</w:t>
            </w:r>
          </w:p>
        </w:tc>
        <w:tc>
          <w:tcPr>
            <w:tcW w:type="dxa" w:w="3024"/>
          </w:tcPr>
          <w:p>
            <w:r>
              <w:rPr>
                <w:rFonts w:ascii="Calibri" w:hAnsi="Calibri"/>
                <w:b/>
              </w:rPr>
              <w:t>Target</w:t>
            </w:r>
          </w:p>
        </w:tc>
      </w:tr>
      <w:tr>
        <w:tc>
          <w:tcPr>
            <w:tcW w:type="dxa" w:w="3024"/>
          </w:tcPr>
          <w:p>
            <w:r>
              <w:rPr>
                <w:rFonts w:ascii="Calibri" w:hAnsi="Calibri"/>
              </w:rPr>
              <w:t>Launch (Phase 0–1)</w:t>
            </w:r>
          </w:p>
        </w:tc>
        <w:tc>
          <w:tcPr>
            <w:tcW w:type="dxa" w:w="3024"/>
          </w:tcPr>
          <w:p>
            <w:r>
              <w:rPr>
                <w:rFonts w:ascii="Calibri" w:hAnsi="Calibri"/>
              </w:rPr>
              <w:t>Self-fund setup; apply to Innovation Norway Startup Grant in parallel</w:t>
            </w:r>
          </w:p>
        </w:tc>
        <w:tc>
          <w:tcPr>
            <w:tcW w:type="dxa" w:w="3024"/>
          </w:tcPr>
          <w:p>
            <w:r>
              <w:rPr>
                <w:rFonts w:ascii="Calibri" w:hAnsi="Calibri"/>
              </w:rPr>
              <w:t>NOK 150K–300K personal + NOK 500K–900K grant</w:t>
            </w:r>
          </w:p>
        </w:tc>
      </w:tr>
      <w:tr>
        <w:tc>
          <w:tcPr>
            <w:tcW w:type="dxa" w:w="3024"/>
          </w:tcPr>
          <w:p>
            <w:r>
              <w:rPr>
                <w:rFonts w:ascii="Calibri" w:hAnsi="Calibri"/>
              </w:rPr>
              <w:t>Growth (Phase 2)</w:t>
            </w:r>
          </w:p>
        </w:tc>
        <w:tc>
          <w:tcPr>
            <w:tcW w:type="dxa" w:w="3024"/>
          </w:tcPr>
          <w:p>
            <w:r>
              <w:rPr>
                <w:rFonts w:ascii="Calibri" w:hAnsi="Calibri"/>
              </w:rPr>
              <w:t>Reinvest cash flow; secure IFU/BIA grant for AI development</w:t>
            </w:r>
          </w:p>
        </w:tc>
        <w:tc>
          <w:tcPr>
            <w:tcW w:type="dxa" w:w="3024"/>
          </w:tcPr>
          <w:p>
            <w:r>
              <w:rPr>
                <w:rFonts w:ascii="Calibri" w:hAnsi="Calibri"/>
              </w:rPr>
              <w:t>Revenue-funded + NOK 1–3M research grant</w:t>
            </w:r>
          </w:p>
        </w:tc>
      </w:tr>
      <w:tr>
        <w:tc>
          <w:tcPr>
            <w:tcW w:type="dxa" w:w="3024"/>
          </w:tcPr>
          <w:p>
            <w:r>
              <w:rPr>
                <w:rFonts w:ascii="Calibri" w:hAnsi="Calibri"/>
              </w:rPr>
              <w:t>Scale (Phase 3+)</w:t>
            </w:r>
          </w:p>
        </w:tc>
        <w:tc>
          <w:tcPr>
            <w:tcW w:type="dxa" w:w="3024"/>
          </w:tcPr>
          <w:p>
            <w:r>
              <w:rPr>
                <w:rFonts w:ascii="Calibri" w:hAnsi="Calibri"/>
              </w:rPr>
              <w:t>Evaluate strategic partnership or angel round if platform ambition exists</w:t>
            </w:r>
          </w:p>
        </w:tc>
        <w:tc>
          <w:tcPr>
            <w:tcW w:type="dxa" w:w="3024"/>
          </w:tcPr>
          <w:p>
            <w:r>
              <w:rPr>
                <w:rFonts w:ascii="Calibri" w:hAnsi="Calibri"/>
              </w:rPr>
              <w:t>NOK 2–10M if applicable</w:t>
            </w:r>
          </w:p>
        </w:tc>
      </w:tr>
    </w:tbl>
    <w:p/>
    <w:p>
      <w:r>
        <w:rPr>
          <w:rFonts w:ascii="Calibri" w:hAnsi="Calibri"/>
          <w:b/>
          <w:i w:val="0"/>
          <w:sz w:val="21"/>
        </w:rPr>
        <w:t xml:space="preserve">Note: </w:t>
      </w:r>
      <w:r>
        <w:rPr>
          <w:rFonts w:ascii="Calibri" w:hAnsi="Calibri"/>
          <w:b w:val="0"/>
          <w:i/>
          <w:sz w:val="21"/>
        </w:rPr>
        <w:t>The practice does not require external funding to be viable. A profitable practice by Month 3–4 is the strongest possible negotiating position for any future funding or partnership.</w:t>
      </w:r>
    </w:p>
    <w:p>
      <w:r>
        <w:br w:type="page"/>
      </w:r>
    </w:p>
    <w:p>
      <w:pPr>
        <w:pStyle w:val="Heading1"/>
      </w:pPr>
      <w:r>
        <w:rPr>
          <w:rFonts w:ascii="Calibri" w:hAnsi="Calibri"/>
          <w:color w:val="1A1A1A"/>
        </w:rPr>
        <w:t>12. Setup &amp; Investment Summary</w:t>
      </w:r>
    </w:p>
    <w:p>
      <w:pPr>
        <w:pStyle w:val="Heading2"/>
      </w:pPr>
      <w:r>
        <w:t>12.1  Base Case — Lean Launch (~NOK 162,000–314,000)</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Category</w:t>
            </w:r>
          </w:p>
        </w:tc>
        <w:tc>
          <w:tcPr>
            <w:tcW w:type="dxa" w:w="2268"/>
          </w:tcPr>
          <w:p>
            <w:r>
              <w:rPr>
                <w:rFonts w:ascii="Calibri" w:hAnsi="Calibri"/>
                <w:b/>
              </w:rPr>
              <w:t>Item</w:t>
            </w:r>
          </w:p>
        </w:tc>
        <w:tc>
          <w:tcPr>
            <w:tcW w:type="dxa" w:w="2268"/>
          </w:tcPr>
          <w:p>
            <w:r>
              <w:rPr>
                <w:rFonts w:ascii="Calibri" w:hAnsi="Calibri"/>
                <w:b/>
              </w:rPr>
              <w:t>Cost (NOK)</w:t>
            </w:r>
          </w:p>
        </w:tc>
        <w:tc>
          <w:tcPr>
            <w:tcW w:type="dxa" w:w="2268"/>
          </w:tcPr>
          <w:p>
            <w:r>
              <w:rPr>
                <w:rFonts w:ascii="Calibri" w:hAnsi="Calibri"/>
                <w:b/>
              </w:rPr>
              <w:t>Notes</w:t>
            </w:r>
          </w:p>
        </w:tc>
      </w:tr>
      <w:tr>
        <w:tc>
          <w:tcPr>
            <w:tcW w:type="dxa" w:w="2268"/>
          </w:tcPr>
          <w:p>
            <w:r>
              <w:rPr>
                <w:rFonts w:ascii="Calibri" w:hAnsi="Calibri"/>
              </w:rPr>
              <w:t>Legal</w:t>
            </w:r>
          </w:p>
        </w:tc>
        <w:tc>
          <w:tcPr>
            <w:tcW w:type="dxa" w:w="2268"/>
          </w:tcPr>
          <w:p>
            <w:r>
              <w:rPr>
                <w:rFonts w:ascii="Calibri" w:hAnsi="Calibri"/>
              </w:rPr>
              <w:t>AS registration</w:t>
            </w:r>
          </w:p>
        </w:tc>
        <w:tc>
          <w:tcPr>
            <w:tcW w:type="dxa" w:w="2268"/>
          </w:tcPr>
          <w:p>
            <w:r>
              <w:rPr>
                <w:rFonts w:ascii="Calibri" w:hAnsi="Calibri"/>
              </w:rPr>
              <w:t>5,570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Lawyer (membership agreement, privacy docs)</w:t>
            </w:r>
          </w:p>
        </w:tc>
        <w:tc>
          <w:tcPr>
            <w:tcW w:type="dxa" w:w="2268"/>
          </w:tcPr>
          <w:p>
            <w:r>
              <w:rPr>
                <w:rFonts w:ascii="Calibri" w:hAnsi="Calibri"/>
              </w:rPr>
              <w:t>15,000–25,000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Accountant (setup + Year 1)</w:t>
            </w:r>
          </w:p>
        </w:tc>
        <w:tc>
          <w:tcPr>
            <w:tcW w:type="dxa" w:w="2268"/>
          </w:tcPr>
          <w:p>
            <w:r>
              <w:rPr>
                <w:rFonts w:ascii="Calibri" w:hAnsi="Calibri"/>
              </w:rPr>
              <w:t>10,000–15,000</w:t>
            </w:r>
          </w:p>
        </w:tc>
        <w:tc>
          <w:tcPr>
            <w:tcW w:type="dxa" w:w="2268"/>
          </w:tcPr>
          <w:p>
            <w:r>
              <w:rPr>
                <w:rFonts w:ascii="Calibri" w:hAnsi="Calibri"/>
              </w:rPr>
              <w:t>First year</w:t>
            </w:r>
          </w:p>
        </w:tc>
      </w:tr>
      <w:tr>
        <w:tc>
          <w:tcPr>
            <w:tcW w:type="dxa" w:w="2268"/>
          </w:tcPr>
          <w:p>
            <w:r>
              <w:rPr>
                <w:rFonts w:ascii="Calibri" w:hAnsi="Calibri"/>
              </w:rPr>
              <w:t>Insurance</w:t>
            </w:r>
          </w:p>
        </w:tc>
        <w:tc>
          <w:tcPr>
            <w:tcW w:type="dxa" w:w="2268"/>
          </w:tcPr>
          <w:p>
            <w:r>
              <w:rPr>
                <w:rFonts w:ascii="Calibri" w:hAnsi="Calibri"/>
              </w:rPr>
              <w:t>Ansvarsforsikring (professional liability)</w:t>
            </w:r>
          </w:p>
        </w:tc>
        <w:tc>
          <w:tcPr>
            <w:tcW w:type="dxa" w:w="2268"/>
          </w:tcPr>
          <w:p>
            <w:r>
              <w:rPr>
                <w:rFonts w:ascii="Calibri" w:hAnsi="Calibri"/>
              </w:rPr>
              <w:t>20,000–40,000</w:t>
            </w:r>
          </w:p>
        </w:tc>
        <w:tc>
          <w:tcPr>
            <w:tcW w:type="dxa" w:w="2268"/>
          </w:tcPr>
          <w:p>
            <w:r>
              <w:rPr>
                <w:rFonts w:ascii="Calibri" w:hAnsi="Calibri"/>
              </w:rPr>
              <w:t>Annual</w:t>
            </w:r>
          </w:p>
        </w:tc>
      </w:tr>
      <w:tr>
        <w:tc>
          <w:tcPr>
            <w:tcW w:type="dxa" w:w="2268"/>
          </w:tcPr>
          <w:p>
            <w:r>
              <w:rPr>
                <w:rFonts w:ascii="Calibri" w:hAnsi="Calibri"/>
              </w:rPr>
              <w:t>Infrastructure</w:t>
            </w:r>
          </w:p>
        </w:tc>
        <w:tc>
          <w:tcPr>
            <w:tcW w:type="dxa" w:w="2268"/>
          </w:tcPr>
          <w:p>
            <w:r>
              <w:rPr>
                <w:rFonts w:ascii="Calibri" w:hAnsi="Calibri"/>
              </w:rPr>
              <w:t>Mac Mini M4 (if not owned)</w:t>
            </w:r>
          </w:p>
        </w:tc>
        <w:tc>
          <w:tcPr>
            <w:tcW w:type="dxa" w:w="2268"/>
          </w:tcPr>
          <w:p>
            <w:r>
              <w:rPr>
                <w:rFonts w:ascii="Calibri" w:hAnsi="Calibri"/>
              </w:rPr>
              <w:t>8,000–12,000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Clinical equipment (ECG, BP, scale)</w:t>
            </w:r>
          </w:p>
        </w:tc>
        <w:tc>
          <w:tcPr>
            <w:tcW w:type="dxa" w:w="2268"/>
          </w:tcPr>
          <w:p>
            <w:r>
              <w:rPr>
                <w:rFonts w:ascii="Calibri" w:hAnsi="Calibri"/>
              </w:rPr>
              <w:t>15,000–30,000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Cloudflare Tunnel + domain</w:t>
            </w:r>
          </w:p>
        </w:tc>
        <w:tc>
          <w:tcPr>
            <w:tcW w:type="dxa" w:w="2268"/>
          </w:tcPr>
          <w:p>
            <w:r>
              <w:rPr>
                <w:rFonts w:ascii="Calibri" w:hAnsi="Calibri"/>
              </w:rPr>
              <w:t>500–1,000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EPJ system (EG Pasientsky)</w:t>
            </w:r>
          </w:p>
        </w:tc>
        <w:tc>
          <w:tcPr>
            <w:tcW w:type="dxa" w:w="2268"/>
          </w:tcPr>
          <w:p>
            <w:r>
              <w:rPr>
                <w:rFonts w:ascii="Calibri" w:hAnsi="Calibri"/>
              </w:rPr>
              <w:t>7,200–9,600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NPE registration contribution</w:t>
            </w:r>
          </w:p>
        </w:tc>
        <w:tc>
          <w:tcPr>
            <w:tcW w:type="dxa" w:w="2268"/>
          </w:tcPr>
          <w:p>
            <w:r>
              <w:rPr>
                <w:rFonts w:ascii="Calibri" w:hAnsi="Calibri"/>
              </w:rPr>
              <w:t>1,000–2,500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Lab partnership setup</w:t>
            </w:r>
          </w:p>
        </w:tc>
        <w:tc>
          <w:tcPr>
            <w:tcW w:type="dxa" w:w="2268"/>
          </w:tcPr>
          <w:p>
            <w:r>
              <w:rPr>
                <w:rFonts w:ascii="Calibri" w:hAnsi="Calibri"/>
              </w:rPr>
              <w:t>0–5,000</w:t>
            </w:r>
          </w:p>
        </w:tc>
        <w:tc>
          <w:tcPr>
            <w:tcW w:type="dxa" w:w="2268"/>
          </w:tcPr>
          <w:p>
            <w:r>
              <w:rPr>
                <w:rFonts w:ascii="Calibri" w:hAnsi="Calibri"/>
              </w:rPr>
              <w:t>Variable</w:t>
            </w:r>
          </w:p>
        </w:tc>
      </w:tr>
      <w:tr>
        <w:tc>
          <w:tcPr>
            <w:tcW w:type="dxa" w:w="2268"/>
          </w:tcPr>
          <w:p>
            <w:r>
              <w:rPr>
                <w:rFonts w:ascii="Calibri" w:hAnsi="Calibri"/>
              </w:rPr>
              <w:t>Clinical</w:t>
            </w:r>
          </w:p>
        </w:tc>
        <w:tc>
          <w:tcPr>
            <w:tcW w:type="dxa" w:w="2268"/>
          </w:tcPr>
          <w:p>
            <w:r>
              <w:rPr>
                <w:rFonts w:ascii="Calibri" w:hAnsi="Calibri"/>
              </w:rPr>
              <w:t>Intake questionnaire + scheduling tools</w:t>
            </w:r>
          </w:p>
        </w:tc>
        <w:tc>
          <w:tcPr>
            <w:tcW w:type="dxa" w:w="2268"/>
          </w:tcPr>
          <w:p>
            <w:r>
              <w:rPr>
                <w:rFonts w:ascii="Calibri" w:hAnsi="Calibri"/>
              </w:rPr>
              <w:t>0–4,200</w:t>
            </w:r>
          </w:p>
        </w:tc>
        <w:tc>
          <w:tcPr>
            <w:tcW w:type="dxa" w:w="2268"/>
          </w:tcPr>
          <w:p>
            <w:r>
              <w:rPr>
                <w:rFonts w:ascii="Calibri" w:hAnsi="Calibri"/>
              </w:rPr>
              <w:t>Annual</w:t>
            </w:r>
          </w:p>
        </w:tc>
      </w:tr>
      <w:tr>
        <w:tc>
          <w:tcPr>
            <w:tcW w:type="dxa" w:w="2268"/>
          </w:tcPr>
          <w:p>
            <w:r>
              <w:rPr>
                <w:rFonts w:ascii="Calibri" w:hAnsi="Calibri"/>
              </w:rPr>
              <w:t>Marketing</w:t>
            </w:r>
          </w:p>
        </w:tc>
        <w:tc>
          <w:tcPr>
            <w:tcW w:type="dxa" w:w="2268"/>
          </w:tcPr>
          <w:p>
            <w:r>
              <w:rPr>
                <w:rFonts w:ascii="Calibri" w:hAnsi="Calibri"/>
              </w:rPr>
              <w:t>Website (can DIY)</w:t>
            </w:r>
          </w:p>
        </w:tc>
        <w:tc>
          <w:tcPr>
            <w:tcW w:type="dxa" w:w="2268"/>
          </w:tcPr>
          <w:p>
            <w:r>
              <w:rPr>
                <w:rFonts w:ascii="Calibri" w:hAnsi="Calibri"/>
              </w:rPr>
              <w:t>0–10,000</w:t>
            </w:r>
          </w:p>
        </w:tc>
        <w:tc>
          <w:tcPr>
            <w:tcW w:type="dxa" w:w="2268"/>
          </w:tcPr>
          <w:p>
            <w:r>
              <w:rPr>
                <w:rFonts w:ascii="Calibri" w:hAnsi="Calibri"/>
              </w:rPr>
              <w:t>One-time</w:t>
            </w:r>
          </w:p>
        </w:tc>
      </w:tr>
      <w:tr>
        <w:tc>
          <w:tcPr>
            <w:tcW w:type="dxa" w:w="2268"/>
          </w:tcPr>
          <w:p>
            <w:r>
              <w:rPr>
                <w:rFonts w:ascii="Calibri" w:hAnsi="Calibri"/>
              </w:rPr>
              <w:t>Working Capital</w:t>
            </w:r>
          </w:p>
        </w:tc>
        <w:tc>
          <w:tcPr>
            <w:tcW w:type="dxa" w:w="2268"/>
          </w:tcPr>
          <w:p>
            <w:r>
              <w:rPr>
                <w:rFonts w:ascii="Calibri" w:hAnsi="Calibri"/>
              </w:rPr>
              <w:t>Clinic room deposit (3 months)</w:t>
            </w:r>
          </w:p>
        </w:tc>
        <w:tc>
          <w:tcPr>
            <w:tcW w:type="dxa" w:w="2268"/>
          </w:tcPr>
          <w:p>
            <w:r>
              <w:rPr>
                <w:rFonts w:ascii="Calibri" w:hAnsi="Calibri"/>
              </w:rPr>
              <w:t>30,000–60,000</w:t>
            </w:r>
          </w:p>
        </w:tc>
        <w:tc>
          <w:tcPr>
            <w:tcW w:type="dxa" w:w="2268"/>
          </w:tcPr>
          <w:p>
            <w:r>
              <w:rPr>
                <w:rFonts w:ascii="Calibri" w:hAnsi="Calibri"/>
              </w:rPr>
              <w:t>Refundable</w:t>
            </w:r>
          </w:p>
        </w:tc>
      </w:tr>
      <w:tr>
        <w:tc>
          <w:tcPr>
            <w:tcW w:type="dxa" w:w="2268"/>
          </w:tcPr>
          <w:p>
            <w:r>
              <w:rPr>
                <w:rFonts w:ascii="Calibri" w:hAnsi="Calibri"/>
              </w:rPr>
              <w:t>Working Capital</w:t>
            </w:r>
          </w:p>
        </w:tc>
        <w:tc>
          <w:tcPr>
            <w:tcW w:type="dxa" w:w="2268"/>
          </w:tcPr>
          <w:p>
            <w:r>
              <w:rPr>
                <w:rFonts w:ascii="Calibri" w:hAnsi="Calibri"/>
              </w:rPr>
              <w:t>Operating buffer (3 months)</w:t>
            </w:r>
          </w:p>
        </w:tc>
        <w:tc>
          <w:tcPr>
            <w:tcW w:type="dxa" w:w="2268"/>
          </w:tcPr>
          <w:p>
            <w:r>
              <w:rPr>
                <w:rFonts w:ascii="Calibri" w:hAnsi="Calibri"/>
              </w:rPr>
              <w:t>50,000–100,000</w:t>
            </w:r>
          </w:p>
        </w:tc>
        <w:tc>
          <w:tcPr>
            <w:tcW w:type="dxa" w:w="2268"/>
          </w:tcPr>
          <w:p>
            <w:r>
              <w:rPr>
                <w:rFonts w:ascii="Calibri" w:hAnsi="Calibri"/>
              </w:rPr>
              <w:t>Recommended</w:t>
            </w:r>
          </w:p>
        </w:tc>
      </w:tr>
      <w:tr>
        <w:tc>
          <w:tcPr>
            <w:tcW w:type="dxa" w:w="2268"/>
          </w:tcPr>
          <w:p>
            <w:r>
              <w:rPr>
                <w:rFonts w:ascii="Calibri" w:hAnsi="Calibri"/>
              </w:rPr>
            </w:r>
          </w:p>
        </w:tc>
        <w:tc>
          <w:tcPr>
            <w:tcW w:type="dxa" w:w="2268"/>
          </w:tcPr>
          <w:p>
            <w:r>
              <w:rPr>
                <w:rFonts w:ascii="Calibri" w:hAnsi="Calibri"/>
              </w:rPr>
              <w:t>TOTAL ESTIMATED SETUP</w:t>
            </w:r>
          </w:p>
        </w:tc>
        <w:tc>
          <w:tcPr>
            <w:tcW w:type="dxa" w:w="2268"/>
          </w:tcPr>
          <w:p>
            <w:r>
              <w:rPr>
                <w:rFonts w:ascii="Calibri" w:hAnsi="Calibri"/>
              </w:rPr>
              <w:t>~NOK 162,000–314,000</w:t>
            </w:r>
          </w:p>
        </w:tc>
        <w:tc>
          <w:tcPr>
            <w:tcW w:type="dxa" w:w="2268"/>
          </w:tcPr>
          <w:p>
            <w:r>
              <w:rPr>
                <w:rFonts w:ascii="Calibri" w:hAnsi="Calibri"/>
              </w:rPr>
            </w:r>
          </w:p>
        </w:tc>
      </w:tr>
    </w:tbl>
    <w:p>
      <w:pPr/>
    </w:p>
    <w:p>
      <w:pPr>
        <w:pStyle w:val="Heading2"/>
      </w:pPr>
      <w:r>
        <w:t>12.2  High-End Worst Case — Premium Launch (NOK 1,390,000–2,105,000)</w:t>
      </w:r>
    </w:p>
    <w:p>
      <w:pPr/>
      <w:r>
        <w:t>For investor-facing planning: premium Oslo city-centre clinic with high-end finishes, full service suite, and a 6-month capital buffer. No surprises.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Category</w:t>
            </w:r>
          </w:p>
        </w:tc>
        <w:tc>
          <w:tcPr>
            <w:tcW w:type="dxa" w:w="3024"/>
          </w:tcPr>
          <w:p>
            <w:r>
              <w:rPr>
                <w:b/>
              </w:rPr>
              <w:t>Item</w:t>
            </w:r>
          </w:p>
        </w:tc>
        <w:tc>
          <w:tcPr>
            <w:tcW w:type="dxa" w:w="3024"/>
          </w:tcPr>
          <w:p>
            <w:r>
              <w:rPr>
                <w:b/>
              </w:rPr>
              <w:t>Cost (NOK)</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Premises</w:t>
            </w:r>
          </w:p>
        </w:tc>
        <w:tc>
          <w:tcPr>
            <w:tcW w:type="dxa" w:w="3024"/>
          </w:tcPr>
          <w:p>
            <w:r>
              <w:t>Premium clinic fit-out — high-end finishes, furniture, reception</w:t>
            </w:r>
          </w:p>
        </w:tc>
        <w:tc>
          <w:tcPr>
            <w:tcW w:type="dxa" w:w="3024"/>
          </w:tcPr>
          <w:p>
            <w:r>
              <w:t>300,000–500,000</w:t>
            </w:r>
          </w:p>
        </w:tc>
      </w:tr>
      <w:tr>
        <w:tc>
          <w:tcPr>
            <w:tcW w:type="dxa" w:w="3024"/>
          </w:tcPr>
          <w:p>
            <w:r>
              <w:t>Premises</w:t>
            </w:r>
          </w:p>
        </w:tc>
        <w:tc>
          <w:tcPr>
            <w:tcW w:type="dxa" w:w="3024"/>
          </w:tcPr>
          <w:p>
            <w:r>
              <w:t>Clinic deposit + 3 months premium Oslo rent</w:t>
            </w:r>
          </w:p>
        </w:tc>
        <w:tc>
          <w:tcPr>
            <w:tcW w:type="dxa" w:w="3024"/>
          </w:tcPr>
          <w:p>
            <w:r>
              <w:t>120,000–200,000</w:t>
            </w:r>
          </w:p>
        </w:tc>
      </w:tr>
      <w:tr>
        <w:tc>
          <w:tcPr>
            <w:tcW w:type="dxa" w:w="3024"/>
          </w:tcPr>
          <w:p>
            <w:r>
              <w:t>Legal</w:t>
            </w:r>
          </w:p>
        </w:tc>
        <w:tc>
          <w:tcPr>
            <w:tcW w:type="dxa" w:w="3024"/>
          </w:tcPr>
          <w:p>
            <w:r>
              <w:t>Full corporate setup: AS, GDPR, employment, member agreements</w:t>
            </w:r>
          </w:p>
        </w:tc>
        <w:tc>
          <w:tcPr>
            <w:tcW w:type="dxa" w:w="3024"/>
          </w:tcPr>
          <w:p>
            <w:r>
              <w:t>80,000–120,000</w:t>
            </w:r>
          </w:p>
        </w:tc>
      </w:tr>
      <w:tr>
        <w:tc>
          <w:tcPr>
            <w:tcW w:type="dxa" w:w="3024"/>
          </w:tcPr>
          <w:p>
            <w:r>
              <w:t>Legal</w:t>
            </w:r>
          </w:p>
        </w:tc>
        <w:tc>
          <w:tcPr>
            <w:tcW w:type="dxa" w:w="3024"/>
          </w:tcPr>
          <w:p>
            <w:r>
              <w:t>AS registration + accountant Year 1</w:t>
            </w:r>
          </w:p>
        </w:tc>
        <w:tc>
          <w:tcPr>
            <w:tcW w:type="dxa" w:w="3024"/>
          </w:tcPr>
          <w:p>
            <w:r>
              <w:t>40,000–60,000</w:t>
            </w:r>
          </w:p>
        </w:tc>
      </w:tr>
      <w:tr>
        <w:tc>
          <w:tcPr>
            <w:tcW w:type="dxa" w:w="3024"/>
          </w:tcPr>
          <w:p>
            <w:r>
              <w:t>Insurance</w:t>
            </w:r>
          </w:p>
        </w:tc>
        <w:tc>
          <w:tcPr>
            <w:tcW w:type="dxa" w:w="3024"/>
          </w:tcPr>
          <w:p>
            <w:r>
              <w:t>Full professional liability (ansvarsforsikring)</w:t>
            </w:r>
          </w:p>
        </w:tc>
        <w:tc>
          <w:tcPr>
            <w:tcW w:type="dxa" w:w="3024"/>
          </w:tcPr>
          <w:p>
            <w:r>
              <w:t>40,000–60,000</w:t>
            </w:r>
          </w:p>
        </w:tc>
      </w:tr>
      <w:tr>
        <w:tc>
          <w:tcPr>
            <w:tcW w:type="dxa" w:w="3024"/>
          </w:tcPr>
          <w:p>
            <w:r>
              <w:t>Infrastructure</w:t>
            </w:r>
          </w:p>
        </w:tc>
        <w:tc>
          <w:tcPr>
            <w:tcW w:type="dxa" w:w="3024"/>
          </w:tcPr>
          <w:p>
            <w:r>
              <w:t>Premium workstation + peripherals + backup hardware</w:t>
            </w:r>
          </w:p>
        </w:tc>
        <w:tc>
          <w:tcPr>
            <w:tcW w:type="dxa" w:w="3024"/>
          </w:tcPr>
          <w:p>
            <w:r>
              <w:t>50,000–80,000</w:t>
            </w:r>
          </w:p>
        </w:tc>
      </w:tr>
      <w:tr>
        <w:tc>
          <w:tcPr>
            <w:tcW w:type="dxa" w:w="3024"/>
          </w:tcPr>
          <w:p>
            <w:r>
              <w:t>Infrastructure</w:t>
            </w:r>
          </w:p>
        </w:tc>
        <w:tc>
          <w:tcPr>
            <w:tcW w:type="dxa" w:w="3024"/>
          </w:tcPr>
          <w:p>
            <w:r>
              <w:t>Domain + security + backup systems</w:t>
            </w:r>
          </w:p>
        </w:tc>
        <w:tc>
          <w:tcPr>
            <w:tcW w:type="dxa" w:w="3024"/>
          </w:tcPr>
          <w:p>
            <w:r>
              <w:t>10,000–15,000</w:t>
            </w:r>
          </w:p>
        </w:tc>
      </w:tr>
      <w:tr>
        <w:tc>
          <w:tcPr>
            <w:tcW w:type="dxa" w:w="3024"/>
          </w:tcPr>
          <w:p>
            <w:r>
              <w:t>Clinical</w:t>
            </w:r>
          </w:p>
        </w:tc>
        <w:tc>
          <w:tcPr>
            <w:tcW w:type="dxa" w:w="3024"/>
          </w:tcPr>
          <w:p>
            <w:r>
              <w:t>Full equipment suite: ECG, advanced BP, body composition, spirometry, POC labs</w:t>
            </w:r>
          </w:p>
        </w:tc>
        <w:tc>
          <w:tcPr>
            <w:tcW w:type="dxa" w:w="3024"/>
          </w:tcPr>
          <w:p>
            <w:r>
              <w:t>100,000–200,000</w:t>
            </w:r>
          </w:p>
        </w:tc>
      </w:tr>
      <w:tr>
        <w:tc>
          <w:tcPr>
            <w:tcW w:type="dxa" w:w="3024"/>
          </w:tcPr>
          <w:p>
            <w:r>
              <w:t>Clinical</w:t>
            </w:r>
          </w:p>
        </w:tc>
        <w:tc>
          <w:tcPr>
            <w:tcW w:type="dxa" w:w="3024"/>
          </w:tcPr>
          <w:p>
            <w:r>
              <w:t>IV therapy setup: stands, pumps, refrigerated storage, initial pharma stock</w:t>
            </w:r>
          </w:p>
        </w:tc>
        <w:tc>
          <w:tcPr>
            <w:tcW w:type="dxa" w:w="3024"/>
          </w:tcPr>
          <w:p>
            <w:r>
              <w:t>80,000–120,000</w:t>
            </w:r>
          </w:p>
        </w:tc>
      </w:tr>
      <w:tr>
        <w:tc>
          <w:tcPr>
            <w:tcW w:type="dxa" w:w="3024"/>
          </w:tcPr>
          <w:p>
            <w:r>
              <w:t>Clinical</w:t>
            </w:r>
          </w:p>
        </w:tc>
        <w:tc>
          <w:tcPr>
            <w:tcW w:type="dxa" w:w="3024"/>
          </w:tcPr>
          <w:p>
            <w:r>
              <w:t>Medical aesthetics: training + equipment + initial product</w:t>
            </w:r>
          </w:p>
        </w:tc>
        <w:tc>
          <w:tcPr>
            <w:tcW w:type="dxa" w:w="3024"/>
          </w:tcPr>
          <w:p>
            <w:r>
              <w:t>60,000–100,000</w:t>
            </w:r>
          </w:p>
        </w:tc>
      </w:tr>
      <w:tr>
        <w:tc>
          <w:tcPr>
            <w:tcW w:type="dxa" w:w="3024"/>
          </w:tcPr>
          <w:p>
            <w:r>
              <w:t>Clinical</w:t>
            </w:r>
          </w:p>
        </w:tc>
        <w:tc>
          <w:tcPr>
            <w:tcW w:type="dxa" w:w="3024"/>
          </w:tcPr>
          <w:p>
            <w:r>
              <w:t>EPJ system + full integrations Year 1</w:t>
            </w:r>
          </w:p>
        </w:tc>
        <w:tc>
          <w:tcPr>
            <w:tcW w:type="dxa" w:w="3024"/>
          </w:tcPr>
          <w:p>
            <w:r>
              <w:t>20,000–30,000</w:t>
            </w:r>
          </w:p>
        </w:tc>
      </w:tr>
      <w:tr>
        <w:tc>
          <w:tcPr>
            <w:tcW w:type="dxa" w:w="3024"/>
          </w:tcPr>
          <w:p>
            <w:r>
              <w:t>Marketing</w:t>
            </w:r>
          </w:p>
        </w:tc>
        <w:tc>
          <w:tcPr>
            <w:tcW w:type="dxa" w:w="3024"/>
          </w:tcPr>
          <w:p>
            <w:r>
              <w:t>Website + brand + professional photography (premium)</w:t>
            </w:r>
          </w:p>
        </w:tc>
        <w:tc>
          <w:tcPr>
            <w:tcW w:type="dxa" w:w="3024"/>
          </w:tcPr>
          <w:p>
            <w:r>
              <w:t>80,000–150,000</w:t>
            </w:r>
          </w:p>
        </w:tc>
      </w:tr>
      <w:tr>
        <w:tc>
          <w:tcPr>
            <w:tcW w:type="dxa" w:w="3024"/>
          </w:tcPr>
          <w:p>
            <w:r>
              <w:t>Marketing</w:t>
            </w:r>
          </w:p>
        </w:tc>
        <w:tc>
          <w:tcPr>
            <w:tcW w:type="dxa" w:w="3024"/>
          </w:tcPr>
          <w:p>
            <w:r>
              <w:t>Launch campaign</w:t>
            </w:r>
          </w:p>
        </w:tc>
        <w:tc>
          <w:tcPr>
            <w:tcW w:type="dxa" w:w="3024"/>
          </w:tcPr>
          <w:p>
            <w:r>
              <w:t>50,000–100,000</w:t>
            </w:r>
          </w:p>
        </w:tc>
      </w:tr>
      <w:tr>
        <w:tc>
          <w:tcPr>
            <w:tcW w:type="dxa" w:w="3024"/>
          </w:tcPr>
          <w:p>
            <w:r>
              <w:t>Working Capital</w:t>
            </w:r>
          </w:p>
        </w:tc>
        <w:tc>
          <w:tcPr>
            <w:tcW w:type="dxa" w:w="3024"/>
          </w:tcPr>
          <w:p>
            <w:r>
              <w:t>6-month operating buffer</w:t>
            </w:r>
          </w:p>
        </w:tc>
        <w:tc>
          <w:tcPr>
            <w:tcW w:type="dxa" w:w="3024"/>
          </w:tcPr>
          <w:p>
            <w:r>
              <w:t>200,000–300,000</w:t>
            </w:r>
          </w:p>
        </w:tc>
      </w:tr>
      <w:tr>
        <w:tc>
          <w:tcPr>
            <w:tcW w:type="dxa" w:w="3024"/>
          </w:tcPr>
          <w:p>
            <w:r>
              <w:t>Contingency</w:t>
            </w:r>
          </w:p>
        </w:tc>
        <w:tc>
          <w:tcPr>
            <w:tcW w:type="dxa" w:w="3024"/>
          </w:tcPr>
          <w:p>
            <w:r>
              <w:t>15%</w:t>
            </w:r>
          </w:p>
        </w:tc>
        <w:tc>
          <w:tcPr>
            <w:tcW w:type="dxa" w:w="3024"/>
          </w:tcPr>
          <w:p>
            <w:r>
              <w:t>160,000–270,000</w:t>
            </w:r>
          </w:p>
        </w:tc>
      </w:tr>
      <w:tr>
        <w:tc>
          <w:tcPr>
            <w:tcW w:type="dxa" w:w="3024"/>
          </w:tcPr>
          <w:p>
            <w:r>
              <w:t>TOTAL HIGH-END WORST CASE</w:t>
            </w:r>
          </w:p>
        </w:tc>
        <w:tc>
          <w:tcPr>
            <w:tcW w:type="dxa" w:w="3024"/>
          </w:tcPr>
          <w:p>
            <w:r/>
          </w:p>
        </w:tc>
        <w:tc>
          <w:tcPr>
            <w:tcW w:type="dxa" w:w="3024"/>
          </w:tcPr>
          <w:p>
            <w:r>
              <w:t>~NOK 1,390,000–2,105,000</w:t>
            </w:r>
          </w:p>
        </w:tc>
      </w:tr>
    </w:tbl>
    <w:p>
      <w:pPr/>
      <w:r>
        <w:t>The pilot phase begins with the Base Case. Premium premises and the full service suite are Phase 2–3 investments, funded by pilot revenue and Innovasjon Norge grants.</w:t>
      </w:r>
    </w:p>
    <w:p>
      <w:pPr/>
    </w:p>
    <w:p>
      <w:r>
        <w:br w:type="page"/>
      </w:r>
    </w:p>
    <w:p/>
    <w:p/>
    <w:p/>
    <w:p/>
    <w:p>
      <w:pPr>
        <w:jc w:val="center"/>
      </w:pPr>
      <w:r>
        <w:rPr>
          <w:rFonts w:ascii="Calibri" w:hAnsi="Calibri"/>
          <w:b w:val="0"/>
          <w:i/>
          <w:color w:val="1A2E4A"/>
          <w:sz w:val="32"/>
        </w:rPr>
        <w:t>The product does not exist in Norway.</w:t>
      </w:r>
    </w:p>
    <w:p>
      <w:pPr>
        <w:jc w:val="center"/>
      </w:pPr>
      <w:r>
        <w:t>Medical Concierge is an established global category. Oslo is ready for its first dedicated practice.</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p>
      <w:r>
        <w:br w:type="page"/>
      </w:r>
    </w:p>
    <w:p>
      <w:pPr>
        <w:pStyle w:val="Heading1"/>
      </w:pPr>
      <w:r>
        <w:t>Appendix A: Evidence-Based Supplement Protocols</w:t>
      </w:r>
    </w:p>
    <w:p>
      <w:r>
        <w:rPr>
          <w:rFonts w:ascii="Calibri" w:hAnsi="Calibri"/>
          <w:b w:val="0"/>
          <w:i w:val="0"/>
          <w:sz w:val="21"/>
        </w:rPr>
        <w:t>Personalised supplementation is one of the highest-value deliverables in the concierge model — and one of the most under-served by the standard fastlege system, where supplementation advice is rarely biomarker-led and almost never monitored over time.</w:t>
      </w:r>
    </w:p>
    <w:p>
      <w:r>
        <w:rPr>
          <w:rFonts w:ascii="Calibri" w:hAnsi="Calibri"/>
          <w:b w:val="0"/>
          <w:i w:val="0"/>
          <w:sz w:val="21"/>
        </w:rPr>
        <w:t>In Din Personlige Helsesjef, every supplement recommendation is driven by three inputs: the member's lab results, their wearable data trends, and their stated health goals. Protocols are reviewed at every consultation and updated quarterly. Nothing is prescribed speculatively — every recommendation is tied to a measurable clinical trigger.</w:t>
      </w:r>
    </w:p>
    <w:p/>
    <w:p>
      <w:pPr>
        <w:pStyle w:val="Heading2"/>
      </w:pPr>
      <w:r>
        <w:t>A.1  Foundation Protocols — Applicable to Most Members</w:t>
      </w:r>
    </w:p>
    <w:p>
      <w:r>
        <w:rPr>
          <w:rFonts w:ascii="Calibri" w:hAnsi="Calibri"/>
          <w:b w:val="0"/>
          <w:i w:val="0"/>
          <w:sz w:val="21"/>
        </w:rPr>
        <w:t>These supplements have strong evidence bases and high prevalence of need in the Oslo executive demographic:</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Supplement</w:t>
            </w:r>
          </w:p>
        </w:tc>
        <w:tc>
          <w:tcPr>
            <w:tcW w:type="dxa" w:w="2268"/>
          </w:tcPr>
          <w:p>
            <w:r>
              <w:rPr>
                <w:rFonts w:ascii="Calibri" w:hAnsi="Calibri"/>
                <w:b/>
              </w:rPr>
              <w:t>Clinical Trigger</w:t>
            </w:r>
          </w:p>
        </w:tc>
        <w:tc>
          <w:tcPr>
            <w:tcW w:type="dxa" w:w="2268"/>
          </w:tcPr>
          <w:p>
            <w:r>
              <w:rPr>
                <w:rFonts w:ascii="Calibri" w:hAnsi="Calibri"/>
                <w:b/>
              </w:rPr>
              <w:t>Protocol</w:t>
            </w:r>
          </w:p>
        </w:tc>
        <w:tc>
          <w:tcPr>
            <w:tcW w:type="dxa" w:w="2268"/>
          </w:tcPr>
          <w:p>
            <w:r>
              <w:rPr>
                <w:rFonts w:ascii="Calibri" w:hAnsi="Calibri"/>
                <w:b/>
              </w:rPr>
              <w:t>Evidence</w:t>
            </w:r>
          </w:p>
        </w:tc>
      </w:tr>
      <w:tr>
        <w:tc>
          <w:tcPr>
            <w:tcW w:type="dxa" w:w="2268"/>
          </w:tcPr>
          <w:p>
            <w:r>
              <w:rPr>
                <w:rFonts w:ascii="Calibri" w:hAnsi="Calibri"/>
              </w:rPr>
              <w:t>Vitamin D3 + K2 (MK-7)</w:t>
            </w:r>
          </w:p>
        </w:tc>
        <w:tc>
          <w:tcPr>
            <w:tcW w:type="dxa" w:w="2268"/>
          </w:tcPr>
          <w:p>
            <w:r>
              <w:rPr>
                <w:rFonts w:ascii="Calibri" w:hAnsi="Calibri"/>
              </w:rPr>
              <w:t>25-OH-D3 &lt;75 nmol/L — extremely common in Oslo latitude</w:t>
            </w:r>
          </w:p>
        </w:tc>
        <w:tc>
          <w:tcPr>
            <w:tcW w:type="dxa" w:w="2268"/>
          </w:tcPr>
          <w:p>
            <w:r>
              <w:rPr>
                <w:rFonts w:ascii="Calibri" w:hAnsi="Calibri"/>
              </w:rPr>
              <w:t>2,000–5,000 IU D3 + 100–200 mcg K2 daily</w:t>
            </w:r>
          </w:p>
        </w:tc>
        <w:tc>
          <w:tcPr>
            <w:tcW w:type="dxa" w:w="2268"/>
          </w:tcPr>
          <w:p>
            <w:r>
              <w:rPr>
                <w:rFonts w:ascii="Calibri" w:hAnsi="Calibri"/>
              </w:rPr>
              <w:t>Strong — deficiency widespread; supplementation effective and safe</w:t>
            </w:r>
          </w:p>
        </w:tc>
      </w:tr>
      <w:tr>
        <w:tc>
          <w:tcPr>
            <w:tcW w:type="dxa" w:w="2268"/>
          </w:tcPr>
          <w:p>
            <w:r>
              <w:rPr>
                <w:rFonts w:ascii="Calibri" w:hAnsi="Calibri"/>
              </w:rPr>
              <w:t>Magnesium glycinate</w:t>
            </w:r>
          </w:p>
        </w:tc>
        <w:tc>
          <w:tcPr>
            <w:tcW w:type="dxa" w:w="2268"/>
          </w:tcPr>
          <w:p>
            <w:r>
              <w:rPr>
                <w:rFonts w:ascii="Calibri" w:hAnsi="Calibri"/>
              </w:rPr>
              <w:t>RBC Mg &lt;0.85, poor sleep, muscle cramps, stress indicators in wearable</w:t>
            </w:r>
          </w:p>
        </w:tc>
        <w:tc>
          <w:tcPr>
            <w:tcW w:type="dxa" w:w="2268"/>
          </w:tcPr>
          <w:p>
            <w:r>
              <w:rPr>
                <w:rFonts w:ascii="Calibri" w:hAnsi="Calibri"/>
              </w:rPr>
              <w:t>300–400 mg elemental Mg, evening</w:t>
            </w:r>
          </w:p>
        </w:tc>
        <w:tc>
          <w:tcPr>
            <w:tcW w:type="dxa" w:w="2268"/>
          </w:tcPr>
          <w:p>
            <w:r>
              <w:rPr>
                <w:rFonts w:ascii="Calibri" w:hAnsi="Calibri"/>
              </w:rPr>
              <w:t>Strong for sleep; moderate for stress, BP, and insulin sensitivity</w:t>
            </w:r>
          </w:p>
        </w:tc>
      </w:tr>
      <w:tr>
        <w:tc>
          <w:tcPr>
            <w:tcW w:type="dxa" w:w="2268"/>
          </w:tcPr>
          <w:p>
            <w:r>
              <w:rPr>
                <w:rFonts w:ascii="Calibri" w:hAnsi="Calibri"/>
              </w:rPr>
              <w:t>Omega-3 (EPA/DHA)</w:t>
            </w:r>
          </w:p>
        </w:tc>
        <w:tc>
          <w:tcPr>
            <w:tcW w:type="dxa" w:w="2268"/>
          </w:tcPr>
          <w:p>
            <w:r>
              <w:rPr>
                <w:rFonts w:ascii="Calibri" w:hAnsi="Calibri"/>
              </w:rPr>
              <w:t>Omega-3 index &lt;8%, elevated TG, cardiovascular risk score</w:t>
            </w:r>
          </w:p>
        </w:tc>
        <w:tc>
          <w:tcPr>
            <w:tcW w:type="dxa" w:w="2268"/>
          </w:tcPr>
          <w:p>
            <w:r>
              <w:rPr>
                <w:rFonts w:ascii="Calibri" w:hAnsi="Calibri"/>
              </w:rPr>
              <w:t>2–4 g EPA+DHA daily (high-quality fish oil)</w:t>
            </w:r>
          </w:p>
        </w:tc>
        <w:tc>
          <w:tcPr>
            <w:tcW w:type="dxa" w:w="2268"/>
          </w:tcPr>
          <w:p>
            <w:r>
              <w:rPr>
                <w:rFonts w:ascii="Calibri" w:hAnsi="Calibri"/>
              </w:rPr>
              <w:t>Strong — cardiovascular, anti-inflammatory, cognitive</w:t>
            </w:r>
          </w:p>
        </w:tc>
      </w:tr>
      <w:tr>
        <w:tc>
          <w:tcPr>
            <w:tcW w:type="dxa" w:w="2268"/>
          </w:tcPr>
          <w:p>
            <w:r>
              <w:rPr>
                <w:rFonts w:ascii="Calibri" w:hAnsi="Calibri"/>
              </w:rPr>
              <w:t>Creatine monohydrate</w:t>
            </w:r>
          </w:p>
        </w:tc>
        <w:tc>
          <w:tcPr>
            <w:tcW w:type="dxa" w:w="2268"/>
          </w:tcPr>
          <w:p>
            <w:r>
              <w:rPr>
                <w:rFonts w:ascii="Calibri" w:hAnsi="Calibri"/>
              </w:rPr>
              <w:t>Cognitive performance goals, strength training, age &gt;45</w:t>
            </w:r>
          </w:p>
        </w:tc>
        <w:tc>
          <w:tcPr>
            <w:tcW w:type="dxa" w:w="2268"/>
          </w:tcPr>
          <w:p>
            <w:r>
              <w:rPr>
                <w:rFonts w:ascii="Calibri" w:hAnsi="Calibri"/>
              </w:rPr>
              <w:t>3–5 g daily, any time</w:t>
            </w:r>
          </w:p>
        </w:tc>
        <w:tc>
          <w:tcPr>
            <w:tcW w:type="dxa" w:w="2268"/>
          </w:tcPr>
          <w:p>
            <w:r>
              <w:rPr>
                <w:rFonts w:ascii="Calibri" w:hAnsi="Calibri"/>
              </w:rPr>
              <w:t>Strong — cognitive performance, muscle health, longevity signal</w:t>
            </w:r>
          </w:p>
        </w:tc>
      </w:tr>
      <w:tr>
        <w:tc>
          <w:tcPr>
            <w:tcW w:type="dxa" w:w="2268"/>
          </w:tcPr>
          <w:p>
            <w:r>
              <w:rPr>
                <w:rFonts w:ascii="Calibri" w:hAnsi="Calibri"/>
              </w:rPr>
              <w:t>B12 (methylcobalamin)</w:t>
            </w:r>
          </w:p>
        </w:tc>
        <w:tc>
          <w:tcPr>
            <w:tcW w:type="dxa" w:w="2268"/>
          </w:tcPr>
          <w:p>
            <w:r>
              <w:rPr>
                <w:rFonts w:ascii="Calibri" w:hAnsi="Calibri"/>
              </w:rPr>
              <w:t>B12 &lt;300 pmol/L, vegan diet, age &gt;60, metformin use</w:t>
            </w:r>
          </w:p>
        </w:tc>
        <w:tc>
          <w:tcPr>
            <w:tcW w:type="dxa" w:w="2268"/>
          </w:tcPr>
          <w:p>
            <w:r>
              <w:rPr>
                <w:rFonts w:ascii="Calibri" w:hAnsi="Calibri"/>
              </w:rPr>
              <w:t>1,000 mcg sublingual; IM injection if severe</w:t>
            </w:r>
          </w:p>
        </w:tc>
        <w:tc>
          <w:tcPr>
            <w:tcW w:type="dxa" w:w="2268"/>
          </w:tcPr>
          <w:p>
            <w:r>
              <w:rPr>
                <w:rFonts w:ascii="Calibri" w:hAnsi="Calibri"/>
              </w:rPr>
              <w:t>Strong for deficiency states</w:t>
            </w:r>
          </w:p>
        </w:tc>
      </w:tr>
      <w:tr>
        <w:tc>
          <w:tcPr>
            <w:tcW w:type="dxa" w:w="2268"/>
          </w:tcPr>
          <w:p>
            <w:r>
              <w:rPr>
                <w:rFonts w:ascii="Calibri" w:hAnsi="Calibri"/>
              </w:rPr>
              <w:t>Zinc bisglycinate</w:t>
            </w:r>
          </w:p>
        </w:tc>
        <w:tc>
          <w:tcPr>
            <w:tcW w:type="dxa" w:w="2268"/>
          </w:tcPr>
          <w:p>
            <w:r>
              <w:rPr>
                <w:rFonts w:ascii="Calibri" w:hAnsi="Calibri"/>
              </w:rPr>
              <w:t>Serum Zn &lt;11 µmol/L, frequent illness, low testosterone pattern</w:t>
            </w:r>
          </w:p>
        </w:tc>
        <w:tc>
          <w:tcPr>
            <w:tcW w:type="dxa" w:w="2268"/>
          </w:tcPr>
          <w:p>
            <w:r>
              <w:rPr>
                <w:rFonts w:ascii="Calibri" w:hAnsi="Calibri"/>
              </w:rPr>
              <w:t>15–25 mg elemental Zn with food</w:t>
            </w:r>
          </w:p>
        </w:tc>
        <w:tc>
          <w:tcPr>
            <w:tcW w:type="dxa" w:w="2268"/>
          </w:tcPr>
          <w:p>
            <w:r>
              <w:rPr>
                <w:rFonts w:ascii="Calibri" w:hAnsi="Calibri"/>
              </w:rPr>
              <w:t>Moderate — immune support, testosterone cofactor</w:t>
            </w:r>
          </w:p>
        </w:tc>
      </w:tr>
      <w:tr>
        <w:tc>
          <w:tcPr>
            <w:tcW w:type="dxa" w:w="2268"/>
          </w:tcPr>
          <w:p>
            <w:r>
              <w:rPr>
                <w:rFonts w:ascii="Calibri" w:hAnsi="Calibri"/>
              </w:rPr>
              <w:t>Collagen peptides + Vit C</w:t>
            </w:r>
          </w:p>
        </w:tc>
        <w:tc>
          <w:tcPr>
            <w:tcW w:type="dxa" w:w="2268"/>
          </w:tcPr>
          <w:p>
            <w:r>
              <w:rPr>
                <w:rFonts w:ascii="Calibri" w:hAnsi="Calibri"/>
              </w:rPr>
              <w:t>Joint symptoms, skin goals, connective tissue concerns</w:t>
            </w:r>
          </w:p>
        </w:tc>
        <w:tc>
          <w:tcPr>
            <w:tcW w:type="dxa" w:w="2268"/>
          </w:tcPr>
          <w:p>
            <w:r>
              <w:rPr>
                <w:rFonts w:ascii="Calibri" w:hAnsi="Calibri"/>
              </w:rPr>
              <w:t>10–15 g hydrolysed collagen + 50 mg vitamin C, AM</w:t>
            </w:r>
          </w:p>
        </w:tc>
        <w:tc>
          <w:tcPr>
            <w:tcW w:type="dxa" w:w="2268"/>
          </w:tcPr>
          <w:p>
            <w:r>
              <w:rPr>
                <w:rFonts w:ascii="Calibri" w:hAnsi="Calibri"/>
              </w:rPr>
              <w:t>Moderate — growing evidence base</w:t>
            </w:r>
          </w:p>
        </w:tc>
      </w:tr>
    </w:tbl>
    <w:p/>
    <w:p>
      <w:pPr>
        <w:pStyle w:val="Heading2"/>
      </w:pPr>
      <w:r>
        <w:t>A.2  Condition-Specific Protocols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Condition / Goal</w:t>
            </w:r>
          </w:p>
        </w:tc>
        <w:tc>
          <w:tcPr>
            <w:tcW w:type="dxa" w:w="2268"/>
          </w:tcPr>
          <w:p>
            <w:r>
              <w:rPr>
                <w:rFonts w:ascii="Calibri" w:hAnsi="Calibri"/>
                <w:b/>
              </w:rPr>
              <w:t>Supplement Stack</w:t>
            </w:r>
          </w:p>
        </w:tc>
        <w:tc>
          <w:tcPr>
            <w:tcW w:type="dxa" w:w="2268"/>
          </w:tcPr>
          <w:p>
            <w:r>
              <w:rPr>
                <w:rFonts w:ascii="Calibri" w:hAnsi="Calibri"/>
                <w:b/>
              </w:rPr>
              <w:t>Protocol</w:t>
            </w:r>
          </w:p>
        </w:tc>
        <w:tc>
          <w:tcPr>
            <w:tcW w:type="dxa" w:w="2268"/>
          </w:tcPr>
          <w:p>
            <w:r>
              <w:rPr>
                <w:rFonts w:ascii="Calibri" w:hAnsi="Calibri"/>
                <w:b/>
              </w:rPr>
              <w:t>Monitor</w:t>
            </w:r>
          </w:p>
        </w:tc>
      </w:tr>
      <w:tr>
        <w:tc>
          <w:tcPr>
            <w:tcW w:type="dxa" w:w="2268"/>
          </w:tcPr>
          <w:p>
            <w:r>
              <w:rPr>
                <w:rFonts w:ascii="Calibri" w:hAnsi="Calibri"/>
              </w:rPr>
              <w:t>Elevated hsCRP / inflammation</w:t>
            </w:r>
          </w:p>
        </w:tc>
        <w:tc>
          <w:tcPr>
            <w:tcW w:type="dxa" w:w="2268"/>
          </w:tcPr>
          <w:p>
            <w:r>
              <w:rPr>
                <w:rFonts w:ascii="Calibri" w:hAnsi="Calibri"/>
              </w:rPr>
              <w:t>Curcumin + piperine, high-dose Omega-3</w:t>
            </w:r>
          </w:p>
        </w:tc>
        <w:tc>
          <w:tcPr>
            <w:tcW w:type="dxa" w:w="2268"/>
          </w:tcPr>
          <w:p>
            <w:r>
              <w:rPr>
                <w:rFonts w:ascii="Calibri" w:hAnsi="Calibri"/>
              </w:rPr>
              <w:t>500 mg curcumin 2x/day + 5 mg piperine; increase Omega-3 to 4g</w:t>
            </w:r>
          </w:p>
        </w:tc>
        <w:tc>
          <w:tcPr>
            <w:tcW w:type="dxa" w:w="2268"/>
          </w:tcPr>
          <w:p>
            <w:r>
              <w:rPr>
                <w:rFonts w:ascii="Calibri" w:hAnsi="Calibri"/>
              </w:rPr>
              <w:t>Recheck hsCRP at 12 weeks</w:t>
            </w:r>
          </w:p>
        </w:tc>
      </w:tr>
      <w:tr>
        <w:tc>
          <w:tcPr>
            <w:tcW w:type="dxa" w:w="2268"/>
          </w:tcPr>
          <w:p>
            <w:r>
              <w:rPr>
                <w:rFonts w:ascii="Calibri" w:hAnsi="Calibri"/>
              </w:rPr>
              <w:t>Sleep dysfunction</w:t>
            </w:r>
          </w:p>
        </w:tc>
        <w:tc>
          <w:tcPr>
            <w:tcW w:type="dxa" w:w="2268"/>
          </w:tcPr>
          <w:p>
            <w:r>
              <w:rPr>
                <w:rFonts w:ascii="Calibri" w:hAnsi="Calibri"/>
              </w:rPr>
              <w:t>Magnesium glycinate, low-dose melatonin, ashwagandha KSM-66</w:t>
            </w:r>
          </w:p>
        </w:tc>
        <w:tc>
          <w:tcPr>
            <w:tcW w:type="dxa" w:w="2268"/>
          </w:tcPr>
          <w:p>
            <w:r>
              <w:rPr>
                <w:rFonts w:ascii="Calibri" w:hAnsi="Calibri"/>
              </w:rPr>
              <w:t>Mg 400 mg + 0.5–1 mg melatonin 30 min pre-sleep + ashwagandha 600 mg PM</w:t>
            </w:r>
          </w:p>
        </w:tc>
        <w:tc>
          <w:tcPr>
            <w:tcW w:type="dxa" w:w="2268"/>
          </w:tcPr>
          <w:p>
            <w:r>
              <w:rPr>
                <w:rFonts w:ascii="Calibri" w:hAnsi="Calibri"/>
              </w:rPr>
              <w:t>HRV trend, sleep stage data via wearable</w:t>
            </w:r>
          </w:p>
        </w:tc>
      </w:tr>
      <w:tr>
        <w:tc>
          <w:tcPr>
            <w:tcW w:type="dxa" w:w="2268"/>
          </w:tcPr>
          <w:p>
            <w:r>
              <w:rPr>
                <w:rFonts w:ascii="Calibri" w:hAnsi="Calibri"/>
              </w:rPr>
              <w:t>Subclinical low testosterone</w:t>
            </w:r>
          </w:p>
        </w:tc>
        <w:tc>
          <w:tcPr>
            <w:tcW w:type="dxa" w:w="2268"/>
          </w:tcPr>
          <w:p>
            <w:r>
              <w:rPr>
                <w:rFonts w:ascii="Calibri" w:hAnsi="Calibri"/>
              </w:rPr>
              <w:t>Zinc, D3, ashwagandha, DHEA (if DHEA-S low)</w:t>
            </w:r>
          </w:p>
        </w:tc>
        <w:tc>
          <w:tcPr>
            <w:tcW w:type="dxa" w:w="2268"/>
          </w:tcPr>
          <w:p>
            <w:r>
              <w:rPr>
                <w:rFonts w:ascii="Calibri" w:hAnsi="Calibri"/>
              </w:rPr>
              <w:t>Zinc 25 mg + D3 4,000 IU + ashwagandha 600 mg daily</w:t>
            </w:r>
          </w:p>
        </w:tc>
        <w:tc>
          <w:tcPr>
            <w:tcW w:type="dxa" w:w="2268"/>
          </w:tcPr>
          <w:p>
            <w:r>
              <w:rPr>
                <w:rFonts w:ascii="Calibri" w:hAnsi="Calibri"/>
              </w:rPr>
              <w:t>Recheck T + SHBG at 3 months; consider TRT referral if inadequate</w:t>
            </w:r>
          </w:p>
        </w:tc>
      </w:tr>
      <w:tr>
        <w:tc>
          <w:tcPr>
            <w:tcW w:type="dxa" w:w="2268"/>
          </w:tcPr>
          <w:p>
            <w:r>
              <w:rPr>
                <w:rFonts w:ascii="Calibri" w:hAnsi="Calibri"/>
              </w:rPr>
              <w:t>Cognitive performance / executive stress</w:t>
            </w:r>
          </w:p>
        </w:tc>
        <w:tc>
          <w:tcPr>
            <w:tcW w:type="dxa" w:w="2268"/>
          </w:tcPr>
          <w:p>
            <w:r>
              <w:rPr>
                <w:rFonts w:ascii="Calibri" w:hAnsi="Calibri"/>
              </w:rPr>
              <w:t>Lion's Mane, Rhodiola rosea, L-theanine + caffeine stack</w:t>
            </w:r>
          </w:p>
        </w:tc>
        <w:tc>
          <w:tcPr>
            <w:tcW w:type="dxa" w:w="2268"/>
          </w:tcPr>
          <w:p>
            <w:r>
              <w:rPr>
                <w:rFonts w:ascii="Calibri" w:hAnsi="Calibri"/>
              </w:rPr>
              <w:t>Lion's Mane 500–1,000 mg AM; Rhodiola 200 mg AM; L-theanine 200 mg with coffee</w:t>
            </w:r>
          </w:p>
        </w:tc>
        <w:tc>
          <w:tcPr>
            <w:tcW w:type="dxa" w:w="2268"/>
          </w:tcPr>
          <w:p>
            <w:r>
              <w:rPr>
                <w:rFonts w:ascii="Calibri" w:hAnsi="Calibri"/>
              </w:rPr>
              <w:t>Subjective cognitive scores, wearable HRV</w:t>
            </w:r>
          </w:p>
        </w:tc>
      </w:tr>
      <w:tr>
        <w:tc>
          <w:tcPr>
            <w:tcW w:type="dxa" w:w="2268"/>
          </w:tcPr>
          <w:p>
            <w:r>
              <w:rPr>
                <w:rFonts w:ascii="Calibri" w:hAnsi="Calibri"/>
              </w:rPr>
              <w:t>Insulin resistance / elevated HOMA-IR</w:t>
            </w:r>
          </w:p>
        </w:tc>
        <w:tc>
          <w:tcPr>
            <w:tcW w:type="dxa" w:w="2268"/>
          </w:tcPr>
          <w:p>
            <w:r>
              <w:rPr>
                <w:rFonts w:ascii="Calibri" w:hAnsi="Calibri"/>
              </w:rPr>
              <w:t>Berberine, chromium, Omega-3</w:t>
            </w:r>
          </w:p>
        </w:tc>
        <w:tc>
          <w:tcPr>
            <w:tcW w:type="dxa" w:w="2268"/>
          </w:tcPr>
          <w:p>
            <w:r>
              <w:rPr>
                <w:rFonts w:ascii="Calibri" w:hAnsi="Calibri"/>
              </w:rPr>
              <w:t>Berberine 500 mg 2–3x/day with meals</w:t>
            </w:r>
          </w:p>
        </w:tc>
        <w:tc>
          <w:tcPr>
            <w:tcW w:type="dxa" w:w="2268"/>
          </w:tcPr>
          <w:p>
            <w:r>
              <w:rPr>
                <w:rFonts w:ascii="Calibri" w:hAnsi="Calibri"/>
              </w:rPr>
              <w:t>Recheck fasting insulin + HbA1c at 8 weeks</w:t>
            </w:r>
          </w:p>
        </w:tc>
      </w:tr>
      <w:tr>
        <w:tc>
          <w:tcPr>
            <w:tcW w:type="dxa" w:w="2268"/>
          </w:tcPr>
          <w:p>
            <w:r>
              <w:rPr>
                <w:rFonts w:ascii="Calibri" w:hAnsi="Calibri"/>
              </w:rPr>
              <w:t>Cardiovascular risk (elevated ApoB/Lp(a))</w:t>
            </w:r>
          </w:p>
        </w:tc>
        <w:tc>
          <w:tcPr>
            <w:tcW w:type="dxa" w:w="2268"/>
          </w:tcPr>
          <w:p>
            <w:r>
              <w:rPr>
                <w:rFonts w:ascii="Calibri" w:hAnsi="Calibri"/>
              </w:rPr>
              <w:t>High-dose niacin (if tolerated), Omega-3, plant sterols</w:t>
            </w:r>
          </w:p>
        </w:tc>
        <w:tc>
          <w:tcPr>
            <w:tcW w:type="dxa" w:w="2268"/>
          </w:tcPr>
          <w:p>
            <w:r>
              <w:rPr>
                <w:rFonts w:ascii="Calibri" w:hAnsi="Calibri"/>
              </w:rPr>
              <w:t>Titrate niacin to 1–2 g/day; Omega-3 4g; psyllium husk 5–10g</w:t>
            </w:r>
          </w:p>
        </w:tc>
        <w:tc>
          <w:tcPr>
            <w:tcW w:type="dxa" w:w="2268"/>
          </w:tcPr>
          <w:p>
            <w:r>
              <w:rPr>
                <w:rFonts w:ascii="Calibri" w:hAnsi="Calibri"/>
              </w:rPr>
              <w:t>Specialist referral likely required for Lp(a)</w:t>
            </w:r>
          </w:p>
        </w:tc>
      </w:tr>
      <w:tr>
        <w:tc>
          <w:tcPr>
            <w:tcW w:type="dxa" w:w="2268"/>
          </w:tcPr>
          <w:p>
            <w:r>
              <w:rPr>
                <w:rFonts w:ascii="Calibri" w:hAnsi="Calibri"/>
              </w:rPr>
              <w:t>Iron deficiency (non-anaemic)</w:t>
            </w:r>
          </w:p>
        </w:tc>
        <w:tc>
          <w:tcPr>
            <w:tcW w:type="dxa" w:w="2268"/>
          </w:tcPr>
          <w:p>
            <w:r>
              <w:rPr>
                <w:rFonts w:ascii="Calibri" w:hAnsi="Calibri"/>
              </w:rPr>
              <w:t>Ferrous bisglycinate + vitamin C</w:t>
            </w:r>
          </w:p>
        </w:tc>
        <w:tc>
          <w:tcPr>
            <w:tcW w:type="dxa" w:w="2268"/>
          </w:tcPr>
          <w:p>
            <w:r>
              <w:rPr>
                <w:rFonts w:ascii="Calibri" w:hAnsi="Calibri"/>
              </w:rPr>
              <w:t>25–50 mg elemental iron every other day + 100 mg Vit C</w:t>
            </w:r>
          </w:p>
        </w:tc>
        <w:tc>
          <w:tcPr>
            <w:tcW w:type="dxa" w:w="2268"/>
          </w:tcPr>
          <w:p>
            <w:r>
              <w:rPr>
                <w:rFonts w:ascii="Calibri" w:hAnsi="Calibri"/>
              </w:rPr>
              <w:t>Recheck ferritin at 8 weeks</w:t>
            </w:r>
          </w:p>
        </w:tc>
      </w:tr>
      <w:tr>
        <w:tc>
          <w:tcPr>
            <w:tcW w:type="dxa" w:w="2268"/>
          </w:tcPr>
          <w:p>
            <w:r>
              <w:rPr>
                <w:rFonts w:ascii="Calibri" w:hAnsi="Calibri"/>
              </w:rPr>
              <w:t>Longevity / anti-ageing</w:t>
            </w:r>
          </w:p>
        </w:tc>
        <w:tc>
          <w:tcPr>
            <w:tcW w:type="dxa" w:w="2268"/>
          </w:tcPr>
          <w:p>
            <w:r>
              <w:rPr>
                <w:rFonts w:ascii="Calibri" w:hAnsi="Calibri"/>
              </w:rPr>
              <w:t>NMN or NR (NAD+ precursor), resveratrol, spermidine</w:t>
            </w:r>
          </w:p>
        </w:tc>
        <w:tc>
          <w:tcPr>
            <w:tcW w:type="dxa" w:w="2268"/>
          </w:tcPr>
          <w:p>
            <w:r>
              <w:rPr>
                <w:rFonts w:ascii="Calibri" w:hAnsi="Calibri"/>
              </w:rPr>
              <w:t>NMN 500–1,000 mg AM; resveratrol 500 mg with fat</w:t>
            </w:r>
          </w:p>
        </w:tc>
        <w:tc>
          <w:tcPr>
            <w:tcW w:type="dxa" w:w="2268"/>
          </w:tcPr>
          <w:p>
            <w:r>
              <w:rPr>
                <w:rFonts w:ascii="Calibri" w:hAnsi="Calibri"/>
              </w:rPr>
              <w:t>GlycanAge, HRV trends, body composition</w:t>
            </w:r>
          </w:p>
        </w:tc>
      </w:tr>
    </w:tbl>
    <w:p/>
    <w:p>
      <w:pPr>
        <w:pStyle w:val="Heading2"/>
      </w:pPr>
      <w:r>
        <w:t>A.3  Prescribable Therapeutics (Physician-Only)</w:t>
      </w:r>
    </w:p>
    <w:p>
      <w:r>
        <w:rPr>
          <w:rFonts w:ascii="Calibri" w:hAnsi="Calibri"/>
          <w:b w:val="0"/>
          <w:i w:val="0"/>
          <w:sz w:val="21"/>
        </w:rPr>
        <w:t>As a licensed physician, Ragnhild can prescribe therapeutics that go beyond the over-the-counter supplement range. These offer significant clinical value and represent a meaningful differentiator over non-physician wellness providers: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Therapeutic</w:t>
            </w:r>
          </w:p>
        </w:tc>
        <w:tc>
          <w:tcPr>
            <w:tcW w:type="dxa" w:w="2268"/>
          </w:tcPr>
          <w:p>
            <w:r>
              <w:rPr>
                <w:rFonts w:ascii="Calibri" w:hAnsi="Calibri"/>
                <w:b/>
              </w:rPr>
              <w:t>Indication</w:t>
            </w:r>
          </w:p>
        </w:tc>
        <w:tc>
          <w:tcPr>
            <w:tcW w:type="dxa" w:w="2268"/>
          </w:tcPr>
          <w:p>
            <w:r>
              <w:rPr>
                <w:rFonts w:ascii="Calibri" w:hAnsi="Calibri"/>
                <w:b/>
              </w:rPr>
              <w:t>Mechanism</w:t>
            </w:r>
          </w:p>
        </w:tc>
        <w:tc>
          <w:tcPr>
            <w:tcW w:type="dxa" w:w="2268"/>
          </w:tcPr>
          <w:p>
            <w:r>
              <w:rPr>
                <w:rFonts w:ascii="Calibri" w:hAnsi="Calibri"/>
                <w:b/>
              </w:rPr>
              <w:t>Regulatory Status</w:t>
            </w:r>
          </w:p>
        </w:tc>
      </w:tr>
      <w:tr>
        <w:tc>
          <w:tcPr>
            <w:tcW w:type="dxa" w:w="2268"/>
          </w:tcPr>
          <w:p>
            <w:r>
              <w:rPr>
                <w:rFonts w:ascii="Calibri" w:hAnsi="Calibri"/>
              </w:rPr>
              <w:t>Low-dose naltrexone (LDN)</w:t>
            </w:r>
          </w:p>
        </w:tc>
        <w:tc>
          <w:tcPr>
            <w:tcW w:type="dxa" w:w="2268"/>
          </w:tcPr>
          <w:p>
            <w:r>
              <w:rPr>
                <w:rFonts w:ascii="Calibri" w:hAnsi="Calibri"/>
              </w:rPr>
              <w:t>Autoimmune conditions, chronic inflammation, ME/CFS, mood disorders</w:t>
            </w:r>
          </w:p>
        </w:tc>
        <w:tc>
          <w:tcPr>
            <w:tcW w:type="dxa" w:w="2268"/>
          </w:tcPr>
          <w:p>
            <w:r>
              <w:rPr>
                <w:rFonts w:ascii="Calibri" w:hAnsi="Calibri"/>
              </w:rPr>
              <w:t>Modulates endorphin system; anti-inflammatory at low doses (1.5–4.5 mg)</w:t>
            </w:r>
          </w:p>
        </w:tc>
        <w:tc>
          <w:tcPr>
            <w:tcW w:type="dxa" w:w="2268"/>
          </w:tcPr>
          <w:p>
            <w:r>
              <w:rPr>
                <w:rFonts w:ascii="Calibri" w:hAnsi="Calibri"/>
              </w:rPr>
              <w:t>Prescription; off-label use — well-evidenced</w:t>
            </w:r>
          </w:p>
        </w:tc>
      </w:tr>
      <w:tr>
        <w:tc>
          <w:tcPr>
            <w:tcW w:type="dxa" w:w="2268"/>
          </w:tcPr>
          <w:p>
            <w:r>
              <w:rPr>
                <w:rFonts w:ascii="Calibri" w:hAnsi="Calibri"/>
              </w:rPr>
              <w:t>Metformin (longevity protocol)</w:t>
            </w:r>
          </w:p>
        </w:tc>
        <w:tc>
          <w:tcPr>
            <w:tcW w:type="dxa" w:w="2268"/>
          </w:tcPr>
          <w:p>
            <w:r>
              <w:rPr>
                <w:rFonts w:ascii="Calibri" w:hAnsi="Calibri"/>
              </w:rPr>
              <w:t>Insulin resistance, longevity optimisation, metabolic risk</w:t>
            </w:r>
          </w:p>
        </w:tc>
        <w:tc>
          <w:tcPr>
            <w:tcW w:type="dxa" w:w="2268"/>
          </w:tcPr>
          <w:p>
            <w:r>
              <w:rPr>
                <w:rFonts w:ascii="Calibri" w:hAnsi="Calibri"/>
              </w:rPr>
              <w:t>AMPK activation, mTOR inhibition — significant longevity data emerging</w:t>
            </w:r>
          </w:p>
        </w:tc>
        <w:tc>
          <w:tcPr>
            <w:tcW w:type="dxa" w:w="2268"/>
          </w:tcPr>
          <w:p>
            <w:r>
              <w:rPr>
                <w:rFonts w:ascii="Calibri" w:hAnsi="Calibri"/>
              </w:rPr>
              <w:t>Prescription; off-label for longevity</w:t>
            </w:r>
          </w:p>
        </w:tc>
      </w:tr>
      <w:tr>
        <w:tc>
          <w:tcPr>
            <w:tcW w:type="dxa" w:w="2268"/>
          </w:tcPr>
          <w:p>
            <w:r>
              <w:rPr>
                <w:rFonts w:ascii="Calibri" w:hAnsi="Calibri"/>
              </w:rPr>
              <w:t>Testosterone replacement (TRT)</w:t>
            </w:r>
          </w:p>
        </w:tc>
        <w:tc>
          <w:tcPr>
            <w:tcW w:type="dxa" w:w="2268"/>
          </w:tcPr>
          <w:p>
            <w:r>
              <w:rPr>
                <w:rFonts w:ascii="Calibri" w:hAnsi="Calibri"/>
              </w:rPr>
              <w:t>Confirmed low testosterone with symptoms</w:t>
            </w:r>
          </w:p>
        </w:tc>
        <w:tc>
          <w:tcPr>
            <w:tcW w:type="dxa" w:w="2268"/>
          </w:tcPr>
          <w:p>
            <w:r>
              <w:rPr>
                <w:rFonts w:ascii="Calibri" w:hAnsi="Calibri"/>
              </w:rPr>
              <w:t>Hormone replacement; gel, injection, or cream</w:t>
            </w:r>
          </w:p>
        </w:tc>
        <w:tc>
          <w:tcPr>
            <w:tcW w:type="dxa" w:w="2268"/>
          </w:tcPr>
          <w:p>
            <w:r>
              <w:rPr>
                <w:rFonts w:ascii="Calibri" w:hAnsi="Calibri"/>
              </w:rPr>
              <w:t>Prescription; refer to endocrinologist or manage in-practice</w:t>
            </w:r>
          </w:p>
        </w:tc>
      </w:tr>
      <w:tr>
        <w:tc>
          <w:tcPr>
            <w:tcW w:type="dxa" w:w="2268"/>
          </w:tcPr>
          <w:p>
            <w:r>
              <w:rPr>
                <w:rFonts w:ascii="Calibri" w:hAnsi="Calibri"/>
              </w:rPr>
              <w:t>Thyroid optimisation (T3/T4)</w:t>
            </w:r>
          </w:p>
        </w:tc>
        <w:tc>
          <w:tcPr>
            <w:tcW w:type="dxa" w:w="2268"/>
          </w:tcPr>
          <w:p>
            <w:r>
              <w:rPr>
                <w:rFonts w:ascii="Calibri" w:hAnsi="Calibri"/>
              </w:rPr>
              <w:t>Subclinical hypothyroidism, poor response to T4 alone</w:t>
            </w:r>
          </w:p>
        </w:tc>
        <w:tc>
          <w:tcPr>
            <w:tcW w:type="dxa" w:w="2268"/>
          </w:tcPr>
          <w:p>
            <w:r>
              <w:rPr>
                <w:rFonts w:ascii="Calibri" w:hAnsi="Calibri"/>
              </w:rPr>
              <w:t>Direct hormone replacement</w:t>
            </w:r>
          </w:p>
        </w:tc>
        <w:tc>
          <w:tcPr>
            <w:tcW w:type="dxa" w:w="2268"/>
          </w:tcPr>
          <w:p>
            <w:r>
              <w:rPr>
                <w:rFonts w:ascii="Calibri" w:hAnsi="Calibri"/>
              </w:rPr>
              <w:t>Prescription; collaborative with endocrinology</w:t>
            </w:r>
          </w:p>
        </w:tc>
      </w:tr>
      <w:tr>
        <w:tc>
          <w:tcPr>
            <w:tcW w:type="dxa" w:w="2268"/>
          </w:tcPr>
          <w:p>
            <w:r>
              <w:rPr>
                <w:rFonts w:ascii="Calibri" w:hAnsi="Calibri"/>
              </w:rPr>
              <w:t>DHEA</w:t>
            </w:r>
          </w:p>
        </w:tc>
        <w:tc>
          <w:tcPr>
            <w:tcW w:type="dxa" w:w="2268"/>
          </w:tcPr>
          <w:p>
            <w:r>
              <w:rPr>
                <w:rFonts w:ascii="Calibri" w:hAnsi="Calibri"/>
              </w:rPr>
              <w:t>Low DHEA-S confirmed on labs, adrenal insufficiency pattern</w:t>
            </w:r>
          </w:p>
        </w:tc>
        <w:tc>
          <w:tcPr>
            <w:tcW w:type="dxa" w:w="2268"/>
          </w:tcPr>
          <w:p>
            <w:r>
              <w:rPr>
                <w:rFonts w:ascii="Calibri" w:hAnsi="Calibri"/>
              </w:rPr>
              <w:t>Adrenal hormone precursor</w:t>
            </w:r>
          </w:p>
        </w:tc>
        <w:tc>
          <w:tcPr>
            <w:tcW w:type="dxa" w:w="2268"/>
          </w:tcPr>
          <w:p>
            <w:r>
              <w:rPr>
                <w:rFonts w:ascii="Calibri" w:hAnsi="Calibri"/>
              </w:rPr>
              <w:t>Prescription in Norway; lab-guided</w:t>
            </w:r>
          </w:p>
        </w:tc>
      </w:tr>
      <w:tr>
        <w:tc>
          <w:tcPr>
            <w:tcW w:type="dxa" w:w="2268"/>
          </w:tcPr>
          <w:p>
            <w:r>
              <w:rPr>
                <w:rFonts w:ascii="Calibri" w:hAnsi="Calibri"/>
              </w:rPr>
              <w:t>Peptide therapies (emerging)</w:t>
            </w:r>
          </w:p>
        </w:tc>
        <w:tc>
          <w:tcPr>
            <w:tcW w:type="dxa" w:w="2268"/>
          </w:tcPr>
          <w:p>
            <w:r>
              <w:rPr>
                <w:rFonts w:ascii="Calibri" w:hAnsi="Calibri"/>
              </w:rPr>
              <w:t>BPC-157 (tissue repair), Semax (cognitive), TB-500 (recovery)</w:t>
            </w:r>
          </w:p>
        </w:tc>
        <w:tc>
          <w:tcPr>
            <w:tcW w:type="dxa" w:w="2268"/>
          </w:tcPr>
          <w:p>
            <w:r>
              <w:rPr>
                <w:rFonts w:ascii="Calibri" w:hAnsi="Calibri"/>
              </w:rPr>
              <w:t>Regenerative signalling molecules</w:t>
            </w:r>
          </w:p>
        </w:tc>
        <w:tc>
          <w:tcPr>
            <w:tcW w:type="dxa" w:w="2268"/>
          </w:tcPr>
          <w:p>
            <w:r>
              <w:rPr>
                <w:rFonts w:ascii="Calibri" w:hAnsi="Calibri"/>
              </w:rPr>
              <w:t>Regulatory status evolving in Norway — legal review required before prescribing</w:t>
            </w:r>
          </w:p>
        </w:tc>
      </w:tr>
    </w:tbl>
    <w:p/>
    <w:p>
      <w:pPr>
        <w:pStyle w:val="Heading2"/>
      </w:pPr>
      <w:r>
        <w:t>A.4  Supplement Revenue Model</w:t>
      </w:r>
    </w:p>
    <w:p>
      <w:r>
        <w:rPr>
          <w:rFonts w:ascii="Calibri" w:hAnsi="Calibri"/>
          <w:b w:val="0"/>
          <w:i w:val="0"/>
          <w:sz w:val="21"/>
        </w:rPr>
        <w:t>Supplement protocols offer an optional revenue stream beyond the membership fee. Options include:</w:t>
      </w:r>
    </w:p>
    <w:p>
      <w:pPr>
        <w:pStyle w:val="ListBullet"/>
      </w:pPr>
      <w:r>
        <w:rPr>
          <w:rFonts w:ascii="Calibri" w:hAnsi="Calibri"/>
          <w:b w:val="0"/>
          <w:i w:val="0"/>
          <w:sz w:val="21"/>
        </w:rPr>
        <w:t>Pharmaceutical-grade supplement dispensing (white-label or partner brand) — NOK 500–3,000/month per member</w:t>
      </w:r>
    </w:p>
    <w:p>
      <w:pPr>
        <w:pStyle w:val="ListBullet"/>
      </w:pPr>
      <w:r>
        <w:rPr>
          <w:rFonts w:ascii="Calibri" w:hAnsi="Calibri"/>
          <w:b w:val="0"/>
          <w:i w:val="0"/>
          <w:sz w:val="21"/>
        </w:rPr>
        <w:t>Personalised supplement subscription (quarterly protocol + fulfilment) — NOK 1,500–4,000/quarter</w:t>
      </w:r>
    </w:p>
    <w:p>
      <w:pPr>
        <w:pStyle w:val="ListBullet"/>
      </w:pPr>
      <w:r>
        <w:rPr>
          <w:rFonts w:ascii="Calibri" w:hAnsi="Calibri"/>
          <w:b w:val="0"/>
          <w:i w:val="0"/>
          <w:sz w:val="21"/>
        </w:rPr>
        <w:t>Referral partnership with premium supplement suppliers (e.g. Thorne, Pure Encapsulations) — commission model</w:t>
      </w:r>
    </w:p>
    <w:p>
      <w:pPr>
        <w:pStyle w:val="ListBullet"/>
      </w:pPr>
      <w:r>
        <w:rPr>
          <w:rFonts w:ascii="Calibri" w:hAnsi="Calibri"/>
          <w:b w:val="0"/>
          <w:i w:val="0"/>
          <w:sz w:val="21"/>
        </w:rPr>
        <w:t>Annual protocol review as a standalone service — NOK 3,000–5,000 (non-members)</w:t>
      </w:r>
    </w:p>
    <w:p/>
    <w:p>
      <w:r>
        <w:rPr>
          <w:rFonts w:ascii="Calibri" w:hAnsi="Calibri"/>
          <w:b w:val="0"/>
          <w:i/>
          <w:sz w:val="21"/>
        </w:rPr>
        <w:t>Note: In Norway, supplement sales by physicians are permissible but require care to avoid conflicts of interest. The safest model is to recommend specific products without financial involvement, or to operate through a clearly disclosed partnership arrangement.</w:t>
      </w:r>
    </w:p>
    <w:p>
      <w:r>
        <w:br w:type="page"/>
      </w:r>
    </w:p>
    <w:p>
      <w:pPr>
        <w:pStyle w:val="Heading1"/>
      </w:pPr>
      <w:r>
        <w:t>Appendix B: Premium Optional Services — The Wellness Menu</w:t>
      </w:r>
    </w:p>
    <w:p>
      <w:r>
        <w:rPr>
          <w:rFonts w:ascii="Calibri" w:hAnsi="Calibri"/>
          <w:b w:val="0"/>
          <w:i/>
          <w:sz w:val="21"/>
        </w:rPr>
        <w:t>Inspired by the Ways2Well model</w:t>
      </w:r>
      <w:r>
        <w:rPr>
          <w:rFonts w:ascii="Calibri" w:hAnsi="Calibri"/>
          <w:b w:val="0"/>
          <w:i w:val="0"/>
          <w:sz w:val="21"/>
        </w:rPr>
        <w:t xml:space="preserve"> — a leading US concierge wellness practice offering functional medicine, IV therapy, peptides, hormone optimisation, and aesthetics — the following optional services extend Din Personlige Helsesjef beyond primary care into a comprehensive longevity and performance offering.</w:t>
      </w:r>
    </w:p>
    <w:p/>
    <w:p>
      <w:r>
        <w:rPr>
          <w:rFonts w:ascii="Calibri" w:hAnsi="Calibri"/>
          <w:b w:val="0"/>
          <w:i w:val="0"/>
          <w:sz w:val="21"/>
        </w:rPr>
        <w:t>These services are add-ons, not membership inclusions. They are offered to members who want to go deeper, generate additional revenue per member, and significantly differentiate the practice from any competitor. As a licensed physician, Ragnhild can offer services that nurses and wellness practitioners legally cannot.</w:t>
      </w:r>
    </w:p>
    <w:p/>
    <w:p>
      <w:pPr>
        <w:pStyle w:val="Heading2"/>
      </w:pPr>
      <w:r>
        <w:t>B.1  Wellness IV Therapy</w:t>
      </w:r>
    </w:p>
    <w:p>
      <w:r>
        <w:rPr>
          <w:rFonts w:ascii="Calibri" w:hAnsi="Calibri"/>
          <w:b w:val="0"/>
          <w:i w:val="0"/>
          <w:sz w:val="21"/>
        </w:rPr>
        <w:t>IV therapy delivers vitamins, minerals, amino acids, and hydration directly into the bloodstream — bypassing gut absorption for immediate systemic availability. In the Oslo executive market, IV therapy is gaining traction as a performance and recovery tool. It is currently available at a handful of private clinics in Oslo at NOK 1,500–4,500 per session.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Drip Protocol</w:t>
            </w:r>
          </w:p>
        </w:tc>
        <w:tc>
          <w:tcPr>
            <w:tcW w:type="dxa" w:w="2268"/>
          </w:tcPr>
          <w:p>
            <w:r>
              <w:rPr>
                <w:rFonts w:ascii="Calibri" w:hAnsi="Calibri"/>
                <w:b/>
              </w:rPr>
              <w:t>Key Ingredients</w:t>
            </w:r>
          </w:p>
        </w:tc>
        <w:tc>
          <w:tcPr>
            <w:tcW w:type="dxa" w:w="2268"/>
          </w:tcPr>
          <w:p>
            <w:r>
              <w:rPr>
                <w:rFonts w:ascii="Calibri" w:hAnsi="Calibri"/>
                <w:b/>
              </w:rPr>
              <w:t>Indication</w:t>
            </w:r>
          </w:p>
        </w:tc>
        <w:tc>
          <w:tcPr>
            <w:tcW w:type="dxa" w:w="2268"/>
          </w:tcPr>
          <w:p>
            <w:r>
              <w:rPr>
                <w:rFonts w:ascii="Calibri" w:hAnsi="Calibri"/>
                <w:b/>
              </w:rPr>
              <w:t>Session Price (NOK)</w:t>
            </w:r>
          </w:p>
        </w:tc>
      </w:tr>
      <w:tr>
        <w:tc>
          <w:tcPr>
            <w:tcW w:type="dxa" w:w="2268"/>
          </w:tcPr>
          <w:p>
            <w:r>
              <w:rPr>
                <w:rFonts w:ascii="Calibri" w:hAnsi="Calibri"/>
              </w:rPr>
              <w:t>Executive Performance Drip</w:t>
            </w:r>
          </w:p>
        </w:tc>
        <w:tc>
          <w:tcPr>
            <w:tcW w:type="dxa" w:w="2268"/>
          </w:tcPr>
          <w:p>
            <w:r>
              <w:rPr>
                <w:rFonts w:ascii="Calibri" w:hAnsi="Calibri"/>
              </w:rPr>
              <w:t>High-dose Vit C, B-complex, Magnesium, Zinc, L-Carnitine, Glutathione</w:t>
            </w:r>
          </w:p>
        </w:tc>
        <w:tc>
          <w:tcPr>
            <w:tcW w:type="dxa" w:w="2268"/>
          </w:tcPr>
          <w:p>
            <w:r>
              <w:rPr>
                <w:rFonts w:ascii="Calibri" w:hAnsi="Calibri"/>
              </w:rPr>
              <w:t>Energy, cognitive performance, stress recovery</w:t>
            </w:r>
          </w:p>
        </w:tc>
        <w:tc>
          <w:tcPr>
            <w:tcW w:type="dxa" w:w="2268"/>
          </w:tcPr>
          <w:p>
            <w:r>
              <w:rPr>
                <w:rFonts w:ascii="Calibri" w:hAnsi="Calibri"/>
              </w:rPr>
              <w:t>2,500–3,500</w:t>
            </w:r>
          </w:p>
        </w:tc>
      </w:tr>
      <w:tr>
        <w:tc>
          <w:tcPr>
            <w:tcW w:type="dxa" w:w="2268"/>
          </w:tcPr>
          <w:p>
            <w:r>
              <w:rPr>
                <w:rFonts w:ascii="Calibri" w:hAnsi="Calibri"/>
              </w:rPr>
              <w:t>Immunity Shield</w:t>
            </w:r>
          </w:p>
        </w:tc>
        <w:tc>
          <w:tcPr>
            <w:tcW w:type="dxa" w:w="2268"/>
          </w:tcPr>
          <w:p>
            <w:r>
              <w:rPr>
                <w:rFonts w:ascii="Calibri" w:hAnsi="Calibri"/>
              </w:rPr>
              <w:t>Vit C 10g+, Zinc, Selenium, B12, Glutathione</w:t>
            </w:r>
          </w:p>
        </w:tc>
        <w:tc>
          <w:tcPr>
            <w:tcW w:type="dxa" w:w="2268"/>
          </w:tcPr>
          <w:p>
            <w:r>
              <w:rPr>
                <w:rFonts w:ascii="Calibri" w:hAnsi="Calibri"/>
              </w:rPr>
              <w:t>Immune boost, pre/post travel, infection recovery</w:t>
            </w:r>
          </w:p>
        </w:tc>
        <w:tc>
          <w:tcPr>
            <w:tcW w:type="dxa" w:w="2268"/>
          </w:tcPr>
          <w:p>
            <w:r>
              <w:rPr>
                <w:rFonts w:ascii="Calibri" w:hAnsi="Calibri"/>
              </w:rPr>
              <w:t>2,000–3,000</w:t>
            </w:r>
          </w:p>
        </w:tc>
      </w:tr>
      <w:tr>
        <w:tc>
          <w:tcPr>
            <w:tcW w:type="dxa" w:w="2268"/>
          </w:tcPr>
          <w:p>
            <w:r>
              <w:rPr>
                <w:rFonts w:ascii="Calibri" w:hAnsi="Calibri"/>
              </w:rPr>
              <w:t>NAD+ Infusion</w:t>
            </w:r>
          </w:p>
        </w:tc>
        <w:tc>
          <w:tcPr>
            <w:tcW w:type="dxa" w:w="2268"/>
          </w:tcPr>
          <w:p>
            <w:r>
              <w:rPr>
                <w:rFonts w:ascii="Calibri" w:hAnsi="Calibri"/>
              </w:rPr>
              <w:t>Nicotinamide adenine dinucleotide 250–500 mg</w:t>
            </w:r>
          </w:p>
        </w:tc>
        <w:tc>
          <w:tcPr>
            <w:tcW w:type="dxa" w:w="2268"/>
          </w:tcPr>
          <w:p>
            <w:r>
              <w:rPr>
                <w:rFonts w:ascii="Calibri" w:hAnsi="Calibri"/>
              </w:rPr>
              <w:t>Cellular energy, longevity, cognitive clarity, post-illness recovery</w:t>
            </w:r>
          </w:p>
        </w:tc>
        <w:tc>
          <w:tcPr>
            <w:tcW w:type="dxa" w:w="2268"/>
          </w:tcPr>
          <w:p>
            <w:r>
              <w:rPr>
                <w:rFonts w:ascii="Calibri" w:hAnsi="Calibri"/>
              </w:rPr>
              <w:t>4,000–6,000</w:t>
            </w:r>
          </w:p>
        </w:tc>
      </w:tr>
      <w:tr>
        <w:tc>
          <w:tcPr>
            <w:tcW w:type="dxa" w:w="2268"/>
          </w:tcPr>
          <w:p>
            <w:r>
              <w:rPr>
                <w:rFonts w:ascii="Calibri" w:hAnsi="Calibri"/>
              </w:rPr>
              <w:t>Hydration + Recovery</w:t>
            </w:r>
          </w:p>
        </w:tc>
        <w:tc>
          <w:tcPr>
            <w:tcW w:type="dxa" w:w="2268"/>
          </w:tcPr>
          <w:p>
            <w:r>
              <w:rPr>
                <w:rFonts w:ascii="Calibri" w:hAnsi="Calibri"/>
              </w:rPr>
              <w:t>Saline, Electrolytes, B-complex, Magnesium</w:t>
            </w:r>
          </w:p>
        </w:tc>
        <w:tc>
          <w:tcPr>
            <w:tcW w:type="dxa" w:w="2268"/>
          </w:tcPr>
          <w:p>
            <w:r>
              <w:rPr>
                <w:rFonts w:ascii="Calibri" w:hAnsi="Calibri"/>
              </w:rPr>
              <w:t>Jet lag, post-exercise, hangover, dehydration</w:t>
            </w:r>
          </w:p>
        </w:tc>
        <w:tc>
          <w:tcPr>
            <w:tcW w:type="dxa" w:w="2268"/>
          </w:tcPr>
          <w:p>
            <w:r>
              <w:rPr>
                <w:rFonts w:ascii="Calibri" w:hAnsi="Calibri"/>
              </w:rPr>
              <w:t>1,500–2,500</w:t>
            </w:r>
          </w:p>
        </w:tc>
      </w:tr>
      <w:tr>
        <w:tc>
          <w:tcPr>
            <w:tcW w:type="dxa" w:w="2268"/>
          </w:tcPr>
          <w:p>
            <w:r>
              <w:rPr>
                <w:rFonts w:ascii="Calibri" w:hAnsi="Calibri"/>
              </w:rPr>
              <w:t>Longevity &amp; Anti-Ageing</w:t>
            </w:r>
          </w:p>
        </w:tc>
        <w:tc>
          <w:tcPr>
            <w:tcW w:type="dxa" w:w="2268"/>
          </w:tcPr>
          <w:p>
            <w:r>
              <w:rPr>
                <w:rFonts w:ascii="Calibri" w:hAnsi="Calibri"/>
              </w:rPr>
              <w:t>NAD+, Glutathione, Vit C, Alpha-lipoic acid, Selenium</w:t>
            </w:r>
          </w:p>
        </w:tc>
        <w:tc>
          <w:tcPr>
            <w:tcW w:type="dxa" w:w="2268"/>
          </w:tcPr>
          <w:p>
            <w:r>
              <w:rPr>
                <w:rFonts w:ascii="Calibri" w:hAnsi="Calibri"/>
              </w:rPr>
              <w:t>Oxidative stress reduction, cellular repair, energy</w:t>
            </w:r>
          </w:p>
        </w:tc>
        <w:tc>
          <w:tcPr>
            <w:tcW w:type="dxa" w:w="2268"/>
          </w:tcPr>
          <w:p>
            <w:r>
              <w:rPr>
                <w:rFonts w:ascii="Calibri" w:hAnsi="Calibri"/>
              </w:rPr>
              <w:t>5,000–7,500</w:t>
            </w:r>
          </w:p>
        </w:tc>
      </w:tr>
      <w:tr>
        <w:tc>
          <w:tcPr>
            <w:tcW w:type="dxa" w:w="2268"/>
          </w:tcPr>
          <w:p>
            <w:r>
              <w:rPr>
                <w:rFonts w:ascii="Calibri" w:hAnsi="Calibri"/>
              </w:rPr>
              <w:t>Myers Cocktail (Classic)</w:t>
            </w:r>
          </w:p>
        </w:tc>
        <w:tc>
          <w:tcPr>
            <w:tcW w:type="dxa" w:w="2268"/>
          </w:tcPr>
          <w:p>
            <w:r>
              <w:rPr>
                <w:rFonts w:ascii="Calibri" w:hAnsi="Calibri"/>
              </w:rPr>
              <w:t>Magnesium, Calcium, B-vitamins, Vit C</w:t>
            </w:r>
          </w:p>
        </w:tc>
        <w:tc>
          <w:tcPr>
            <w:tcW w:type="dxa" w:w="2268"/>
          </w:tcPr>
          <w:p>
            <w:r>
              <w:rPr>
                <w:rFonts w:ascii="Calibri" w:hAnsi="Calibri"/>
              </w:rPr>
              <w:t>General wellness, fatigue, fibromyalgia, migraines</w:t>
            </w:r>
          </w:p>
        </w:tc>
        <w:tc>
          <w:tcPr>
            <w:tcW w:type="dxa" w:w="2268"/>
          </w:tcPr>
          <w:p>
            <w:r>
              <w:rPr>
                <w:rFonts w:ascii="Calibri" w:hAnsi="Calibri"/>
              </w:rPr>
              <w:t>2,000–3,000</w:t>
            </w:r>
          </w:p>
        </w:tc>
      </w:tr>
      <w:tr>
        <w:tc>
          <w:tcPr>
            <w:tcW w:type="dxa" w:w="2268"/>
          </w:tcPr>
          <w:p>
            <w:r>
              <w:rPr>
                <w:rFonts w:ascii="Calibri" w:hAnsi="Calibri"/>
              </w:rPr>
              <w:t>Glutathione Push</w:t>
            </w:r>
          </w:p>
        </w:tc>
        <w:tc>
          <w:tcPr>
            <w:tcW w:type="dxa" w:w="2268"/>
          </w:tcPr>
          <w:p>
            <w:r>
              <w:rPr>
                <w:rFonts w:ascii="Calibri" w:hAnsi="Calibri"/>
              </w:rPr>
              <w:t>Reduced glutathione 1,200–2,400 mg IV push</w:t>
            </w:r>
          </w:p>
        </w:tc>
        <w:tc>
          <w:tcPr>
            <w:tcW w:type="dxa" w:w="2268"/>
          </w:tcPr>
          <w:p>
            <w:r>
              <w:rPr>
                <w:rFonts w:ascii="Calibri" w:hAnsi="Calibri"/>
              </w:rPr>
              <w:t>Detoxification, skin brightening, antioxidant replenishment</w:t>
            </w:r>
          </w:p>
        </w:tc>
        <w:tc>
          <w:tcPr>
            <w:tcW w:type="dxa" w:w="2268"/>
          </w:tcPr>
          <w:p>
            <w:r>
              <w:rPr>
                <w:rFonts w:ascii="Calibri" w:hAnsi="Calibri"/>
              </w:rPr>
              <w:t>1,500–2,500</w:t>
            </w:r>
          </w:p>
        </w:tc>
      </w:tr>
      <w:tr>
        <w:tc>
          <w:tcPr>
            <w:tcW w:type="dxa" w:w="2268"/>
          </w:tcPr>
          <w:p>
            <w:r>
              <w:rPr>
                <w:rFonts w:ascii="Calibri" w:hAnsi="Calibri"/>
              </w:rPr>
              <w:t>Custom Protocol</w:t>
            </w:r>
          </w:p>
        </w:tc>
        <w:tc>
          <w:tcPr>
            <w:tcW w:type="dxa" w:w="2268"/>
          </w:tcPr>
          <w:p>
            <w:r>
              <w:rPr>
                <w:rFonts w:ascii="Calibri" w:hAnsi="Calibri"/>
              </w:rPr>
              <w:t>Biomarker-led formulation</w:t>
            </w:r>
          </w:p>
        </w:tc>
        <w:tc>
          <w:tcPr>
            <w:tcW w:type="dxa" w:w="2268"/>
          </w:tcPr>
          <w:p>
            <w:r>
              <w:rPr>
                <w:rFonts w:ascii="Calibri" w:hAnsi="Calibri"/>
              </w:rPr>
              <w:t>Fully personalised based on member labs</w:t>
            </w:r>
          </w:p>
        </w:tc>
        <w:tc>
          <w:tcPr>
            <w:tcW w:type="dxa" w:w="2268"/>
          </w:tcPr>
          <w:p>
            <w:r>
              <w:rPr>
                <w:rFonts w:ascii="Calibri" w:hAnsi="Calibri"/>
              </w:rPr>
              <w:t>3,000–8,000</w:t>
            </w:r>
          </w:p>
        </w:tc>
      </w:tr>
    </w:tbl>
    <w:p/>
    <w:p>
      <w:r>
        <w:rPr>
          <w:rFonts w:ascii="Calibri" w:hAnsi="Calibri"/>
          <w:b/>
          <w:i w:val="0"/>
          <w:sz w:val="21"/>
        </w:rPr>
        <w:t xml:space="preserve">Revenue potential: </w:t>
      </w:r>
      <w:r>
        <w:rPr>
          <w:rFonts w:ascii="Calibri" w:hAnsi="Calibri"/>
          <w:b w:val="0"/>
          <w:i w:val="0"/>
          <w:sz w:val="21"/>
        </w:rPr>
        <w:t>At 5 sessions/week across the member base: NOK 50,000–150,000/month additional revenue</w:t>
      </w:r>
    </w:p>
    <w:p>
      <w:r>
        <w:rPr>
          <w:rFonts w:ascii="Calibri" w:hAnsi="Calibri"/>
          <w:b/>
          <w:i w:val="0"/>
          <w:sz w:val="21"/>
        </w:rPr>
        <w:t xml:space="preserve">Equipment required: </w:t>
      </w:r>
      <w:r>
        <w:rPr>
          <w:rFonts w:ascii="Calibri" w:hAnsi="Calibri"/>
          <w:b w:val="0"/>
          <w:i w:val="0"/>
          <w:sz w:val="21"/>
        </w:rPr>
        <w:t>IV stands, infusion pumps, pharmaceutical-grade supplements (Braun or Fresenius Kabi), refrigerated storage</w:t>
      </w:r>
    </w:p>
    <w:p>
      <w:r>
        <w:rPr>
          <w:rFonts w:ascii="Calibri" w:hAnsi="Calibri"/>
          <w:b/>
          <w:i w:val="0"/>
          <w:sz w:val="21"/>
        </w:rPr>
        <w:t xml:space="preserve">Regulatory note: </w:t>
      </w:r>
      <w:r>
        <w:rPr>
          <w:rFonts w:ascii="Calibri" w:hAnsi="Calibri"/>
          <w:b w:val="0"/>
          <w:i w:val="0"/>
          <w:sz w:val="21"/>
        </w:rPr>
        <w:t>IV therapy in Norway requires physician oversight. As the prescribing physician, Ragnhild can administer or delegate to a trained nurse under medical supervision.</w:t>
      </w:r>
    </w:p>
    <w:p/>
    <w:p>
      <w:pPr>
        <w:pStyle w:val="Heading2"/>
      </w:pPr>
      <w:r>
        <w:t>B.2  Medical Aesthetics</w:t>
      </w:r>
    </w:p>
    <w:p>
      <w:r>
        <w:rPr>
          <w:rFonts w:ascii="Calibri" w:hAnsi="Calibri"/>
          <w:b w:val="0"/>
          <w:i w:val="0"/>
          <w:sz w:val="21"/>
        </w:rPr>
        <w:t>Medical aesthetics is a rapidly growing premium category in Oslo. Performed by a physician with a clinical framing — not a beauty salon — it commands both premium pricing and strong repeat business. The key differentiator is integrating aesthetics with health: Botox to treat migraines as well as lines; filler with collagen biomarker monitoring; skin treatments guided by inflammatory markers.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w:t>
            </w:r>
          </w:p>
        </w:tc>
        <w:tc>
          <w:tcPr>
            <w:tcW w:type="dxa" w:w="2268"/>
          </w:tcPr>
          <w:p>
            <w:r>
              <w:rPr>
                <w:rFonts w:ascii="Calibri" w:hAnsi="Calibri"/>
                <w:b/>
              </w:rPr>
              <w:t>Description</w:t>
            </w:r>
          </w:p>
        </w:tc>
        <w:tc>
          <w:tcPr>
            <w:tcW w:type="dxa" w:w="2268"/>
          </w:tcPr>
          <w:p>
            <w:r>
              <w:rPr>
                <w:rFonts w:ascii="Calibri" w:hAnsi="Calibri"/>
                <w:b/>
              </w:rPr>
              <w:t>Indication</w:t>
            </w:r>
          </w:p>
        </w:tc>
        <w:tc>
          <w:tcPr>
            <w:tcW w:type="dxa" w:w="2268"/>
          </w:tcPr>
          <w:p>
            <w:r>
              <w:rPr>
                <w:rFonts w:ascii="Calibri" w:hAnsi="Calibri"/>
                <w:b/>
              </w:rPr>
              <w:t>Price Range (NOK)</w:t>
            </w:r>
          </w:p>
        </w:tc>
      </w:tr>
      <w:tr>
        <w:tc>
          <w:tcPr>
            <w:tcW w:type="dxa" w:w="2268"/>
          </w:tcPr>
          <w:p>
            <w:r>
              <w:rPr>
                <w:rFonts w:ascii="Calibri" w:hAnsi="Calibri"/>
              </w:rPr>
              <w:t>Botox / Botulinum Toxin</w:t>
            </w:r>
          </w:p>
        </w:tc>
        <w:tc>
          <w:tcPr>
            <w:tcW w:type="dxa" w:w="2268"/>
          </w:tcPr>
          <w:p>
            <w:r>
              <w:rPr>
                <w:rFonts w:ascii="Calibri" w:hAnsi="Calibri"/>
              </w:rPr>
              <w:t>Wrinkle relaxation: forehead, crow's feet, glabella, lip flip</w:t>
            </w:r>
          </w:p>
        </w:tc>
        <w:tc>
          <w:tcPr>
            <w:tcW w:type="dxa" w:w="2268"/>
          </w:tcPr>
          <w:p>
            <w:r>
              <w:rPr>
                <w:rFonts w:ascii="Calibri" w:hAnsi="Calibri"/>
              </w:rPr>
              <w:t>Aesthetic — also therapeutic for migraines, hyperhidrosis, bruxism</w:t>
            </w:r>
          </w:p>
        </w:tc>
        <w:tc>
          <w:tcPr>
            <w:tcW w:type="dxa" w:w="2268"/>
          </w:tcPr>
          <w:p>
            <w:r>
              <w:rPr>
                <w:rFonts w:ascii="Calibri" w:hAnsi="Calibri"/>
              </w:rPr>
              <w:t>3,000–8,000/session</w:t>
            </w:r>
          </w:p>
        </w:tc>
      </w:tr>
      <w:tr>
        <w:tc>
          <w:tcPr>
            <w:tcW w:type="dxa" w:w="2268"/>
          </w:tcPr>
          <w:p>
            <w:r>
              <w:rPr>
                <w:rFonts w:ascii="Calibri" w:hAnsi="Calibri"/>
              </w:rPr>
              <w:t>Dermal Fillers (HA)</w:t>
            </w:r>
          </w:p>
        </w:tc>
        <w:tc>
          <w:tcPr>
            <w:tcW w:type="dxa" w:w="2268"/>
          </w:tcPr>
          <w:p>
            <w:r>
              <w:rPr>
                <w:rFonts w:ascii="Calibri" w:hAnsi="Calibri"/>
              </w:rPr>
              <w:t>Lip volume, nasolabial folds, cheek augmentation, under-eye hollow</w:t>
            </w:r>
          </w:p>
        </w:tc>
        <w:tc>
          <w:tcPr>
            <w:tcW w:type="dxa" w:w="2268"/>
          </w:tcPr>
          <w:p>
            <w:r>
              <w:rPr>
                <w:rFonts w:ascii="Calibri" w:hAnsi="Calibri"/>
              </w:rPr>
              <w:t>Volume restoration, facial contouring</w:t>
            </w:r>
          </w:p>
        </w:tc>
        <w:tc>
          <w:tcPr>
            <w:tcW w:type="dxa" w:w="2268"/>
          </w:tcPr>
          <w:p>
            <w:r>
              <w:rPr>
                <w:rFonts w:ascii="Calibri" w:hAnsi="Calibri"/>
              </w:rPr>
              <w:t>4,000–12,000/area</w:t>
            </w:r>
          </w:p>
        </w:tc>
      </w:tr>
      <w:tr>
        <w:tc>
          <w:tcPr>
            <w:tcW w:type="dxa" w:w="2268"/>
          </w:tcPr>
          <w:p>
            <w:r>
              <w:rPr>
                <w:rFonts w:ascii="Calibri" w:hAnsi="Calibri"/>
              </w:rPr>
              <w:t>Profhilo / Skin Boosters</w:t>
            </w:r>
          </w:p>
        </w:tc>
        <w:tc>
          <w:tcPr>
            <w:tcW w:type="dxa" w:w="2268"/>
          </w:tcPr>
          <w:p>
            <w:r>
              <w:rPr>
                <w:rFonts w:ascii="Calibri" w:hAnsi="Calibri"/>
              </w:rPr>
              <w:t>Injectable hyaluronic acid skin remodelling — not filler</w:t>
            </w:r>
          </w:p>
        </w:tc>
        <w:tc>
          <w:tcPr>
            <w:tcW w:type="dxa" w:w="2268"/>
          </w:tcPr>
          <w:p>
            <w:r>
              <w:rPr>
                <w:rFonts w:ascii="Calibri" w:hAnsi="Calibri"/>
              </w:rPr>
              <w:t>Skin laxity, hydration, texture improvement — popular 40–60 demographic</w:t>
            </w:r>
          </w:p>
        </w:tc>
        <w:tc>
          <w:tcPr>
            <w:tcW w:type="dxa" w:w="2268"/>
          </w:tcPr>
          <w:p>
            <w:r>
              <w:rPr>
                <w:rFonts w:ascii="Calibri" w:hAnsi="Calibri"/>
              </w:rPr>
              <w:t>5,000–8,000/treatment</w:t>
            </w:r>
          </w:p>
        </w:tc>
      </w:tr>
      <w:tr>
        <w:tc>
          <w:tcPr>
            <w:tcW w:type="dxa" w:w="2268"/>
          </w:tcPr>
          <w:p>
            <w:r>
              <w:rPr>
                <w:rFonts w:ascii="Calibri" w:hAnsi="Calibri"/>
              </w:rPr>
              <w:t>Microneedling with PRP</w:t>
            </w:r>
          </w:p>
        </w:tc>
        <w:tc>
          <w:tcPr>
            <w:tcW w:type="dxa" w:w="2268"/>
          </w:tcPr>
          <w:p>
            <w:r>
              <w:rPr>
                <w:rFonts w:ascii="Calibri" w:hAnsi="Calibri"/>
              </w:rPr>
              <w:t>Controlled skin injury + platelet-rich plasma from member's own blood</w:t>
            </w:r>
          </w:p>
        </w:tc>
        <w:tc>
          <w:tcPr>
            <w:tcW w:type="dxa" w:w="2268"/>
          </w:tcPr>
          <w:p>
            <w:r>
              <w:rPr>
                <w:rFonts w:ascii="Calibri" w:hAnsi="Calibri"/>
              </w:rPr>
              <w:t>Skin rejuvenation, scarring, collagen stimulation</w:t>
            </w:r>
          </w:p>
        </w:tc>
        <w:tc>
          <w:tcPr>
            <w:tcW w:type="dxa" w:w="2268"/>
          </w:tcPr>
          <w:p>
            <w:r>
              <w:rPr>
                <w:rFonts w:ascii="Calibri" w:hAnsi="Calibri"/>
              </w:rPr>
              <w:t>4,000–7,000/session</w:t>
            </w:r>
          </w:p>
        </w:tc>
      </w:tr>
      <w:tr>
        <w:tc>
          <w:tcPr>
            <w:tcW w:type="dxa" w:w="2268"/>
          </w:tcPr>
          <w:p>
            <w:r>
              <w:rPr>
                <w:rFonts w:ascii="Calibri" w:hAnsi="Calibri"/>
              </w:rPr>
              <w:t>Chemical Peels</w:t>
            </w:r>
          </w:p>
        </w:tc>
        <w:tc>
          <w:tcPr>
            <w:tcW w:type="dxa" w:w="2268"/>
          </w:tcPr>
          <w:p>
            <w:r>
              <w:rPr>
                <w:rFonts w:ascii="Calibri" w:hAnsi="Calibri"/>
              </w:rPr>
              <w:t>Medical-grade peels (TCA, glycolic, Jessner's)</w:t>
            </w:r>
          </w:p>
        </w:tc>
        <w:tc>
          <w:tcPr>
            <w:tcW w:type="dxa" w:w="2268"/>
          </w:tcPr>
          <w:p>
            <w:r>
              <w:rPr>
                <w:rFonts w:ascii="Calibri" w:hAnsi="Calibri"/>
              </w:rPr>
              <w:t>Pigmentation, texture, acne scarring</w:t>
            </w:r>
          </w:p>
        </w:tc>
        <w:tc>
          <w:tcPr>
            <w:tcW w:type="dxa" w:w="2268"/>
          </w:tcPr>
          <w:p>
            <w:r>
              <w:rPr>
                <w:rFonts w:ascii="Calibri" w:hAnsi="Calibri"/>
              </w:rPr>
              <w:t>2,500–5,000/session</w:t>
            </w:r>
          </w:p>
        </w:tc>
      </w:tr>
      <w:tr>
        <w:tc>
          <w:tcPr>
            <w:tcW w:type="dxa" w:w="2268"/>
          </w:tcPr>
          <w:p>
            <w:r>
              <w:rPr>
                <w:rFonts w:ascii="Calibri" w:hAnsi="Calibri"/>
              </w:rPr>
              <w:t>Mesotherapy</w:t>
            </w:r>
          </w:p>
        </w:tc>
        <w:tc>
          <w:tcPr>
            <w:tcW w:type="dxa" w:w="2268"/>
          </w:tcPr>
          <w:p>
            <w:r>
              <w:rPr>
                <w:rFonts w:ascii="Calibri" w:hAnsi="Calibri"/>
              </w:rPr>
              <w:t>Micro-injections of vitamins, amino acids, hyaluronic acid into skin</w:t>
            </w:r>
          </w:p>
        </w:tc>
        <w:tc>
          <w:tcPr>
            <w:tcW w:type="dxa" w:w="2268"/>
          </w:tcPr>
          <w:p>
            <w:r>
              <w:rPr>
                <w:rFonts w:ascii="Calibri" w:hAnsi="Calibri"/>
              </w:rPr>
              <w:t>Hair loss (scalp), skin rejuvenation, localised fat reduction</w:t>
            </w:r>
          </w:p>
        </w:tc>
        <w:tc>
          <w:tcPr>
            <w:tcW w:type="dxa" w:w="2268"/>
          </w:tcPr>
          <w:p>
            <w:r>
              <w:rPr>
                <w:rFonts w:ascii="Calibri" w:hAnsi="Calibri"/>
              </w:rPr>
              <w:t>3,000–5,000/session</w:t>
            </w:r>
          </w:p>
        </w:tc>
      </w:tr>
      <w:tr>
        <w:tc>
          <w:tcPr>
            <w:tcW w:type="dxa" w:w="2268"/>
          </w:tcPr>
          <w:p>
            <w:r>
              <w:rPr>
                <w:rFonts w:ascii="Calibri" w:hAnsi="Calibri"/>
              </w:rPr>
              <w:t>Medical-Grade Skincare Protocol</w:t>
            </w:r>
          </w:p>
        </w:tc>
        <w:tc>
          <w:tcPr>
            <w:tcW w:type="dxa" w:w="2268"/>
          </w:tcPr>
          <w:p>
            <w:r>
              <w:rPr>
                <w:rFonts w:ascii="Calibri" w:hAnsi="Calibri"/>
              </w:rPr>
              <w:t>Prescription-strength retinoids, azelaic acid, topical Vit C</w:t>
            </w:r>
          </w:p>
        </w:tc>
        <w:tc>
          <w:tcPr>
            <w:tcW w:type="dxa" w:w="2268"/>
          </w:tcPr>
          <w:p>
            <w:r>
              <w:rPr>
                <w:rFonts w:ascii="Calibri" w:hAnsi="Calibri"/>
              </w:rPr>
              <w:t>Anti-ageing, pigmentation, acne — physician-prescribed</w:t>
            </w:r>
          </w:p>
        </w:tc>
        <w:tc>
          <w:tcPr>
            <w:tcW w:type="dxa" w:w="2268"/>
          </w:tcPr>
          <w:p>
            <w:r>
              <w:rPr>
                <w:rFonts w:ascii="Calibri" w:hAnsi="Calibri"/>
              </w:rPr>
              <w:t>1,500–4,000/protocol</w:t>
            </w:r>
          </w:p>
        </w:tc>
      </w:tr>
      <w:tr>
        <w:tc>
          <w:tcPr>
            <w:tcW w:type="dxa" w:w="2268"/>
          </w:tcPr>
          <w:p>
            <w:r>
              <w:rPr>
                <w:rFonts w:ascii="Calibri" w:hAnsi="Calibri"/>
              </w:rPr>
              <w:t>Hyperhidrosis Treatment</w:t>
            </w:r>
          </w:p>
        </w:tc>
        <w:tc>
          <w:tcPr>
            <w:tcW w:type="dxa" w:w="2268"/>
          </w:tcPr>
          <w:p>
            <w:r>
              <w:rPr>
                <w:rFonts w:ascii="Calibri" w:hAnsi="Calibri"/>
              </w:rPr>
              <w:t>Botox to axillae, hands, or feet for excessive sweating</w:t>
            </w:r>
          </w:p>
        </w:tc>
        <w:tc>
          <w:tcPr>
            <w:tcW w:type="dxa" w:w="2268"/>
          </w:tcPr>
          <w:p>
            <w:r>
              <w:rPr>
                <w:rFonts w:ascii="Calibri" w:hAnsi="Calibri"/>
              </w:rPr>
              <w:t>Therapeutic — significant quality-of-life impact</w:t>
            </w:r>
          </w:p>
        </w:tc>
        <w:tc>
          <w:tcPr>
            <w:tcW w:type="dxa" w:w="2268"/>
          </w:tcPr>
          <w:p>
            <w:r>
              <w:rPr>
                <w:rFonts w:ascii="Calibri" w:hAnsi="Calibri"/>
              </w:rPr>
              <w:t>4,000–6,000</w:t>
            </w:r>
          </w:p>
        </w:tc>
      </w:tr>
      <w:tr>
        <w:tc>
          <w:tcPr>
            <w:tcW w:type="dxa" w:w="2268"/>
          </w:tcPr>
          <w:p>
            <w:r>
              <w:rPr>
                <w:rFonts w:ascii="Calibri" w:hAnsi="Calibri"/>
              </w:rPr>
              <w:t>Migraine Prevention (Botox)</w:t>
            </w:r>
          </w:p>
        </w:tc>
        <w:tc>
          <w:tcPr>
            <w:tcW w:type="dxa" w:w="2268"/>
          </w:tcPr>
          <w:p>
            <w:r>
              <w:rPr>
                <w:rFonts w:ascii="Calibri" w:hAnsi="Calibri"/>
              </w:rPr>
              <w:t>31-injection protocol across head and neck every 12 weeks</w:t>
            </w:r>
          </w:p>
        </w:tc>
        <w:tc>
          <w:tcPr>
            <w:tcW w:type="dxa" w:w="2268"/>
          </w:tcPr>
          <w:p>
            <w:r>
              <w:rPr>
                <w:rFonts w:ascii="Calibri" w:hAnsi="Calibri"/>
              </w:rPr>
              <w:t>Therapeutic — chronic migraine diagnosis</w:t>
            </w:r>
          </w:p>
        </w:tc>
        <w:tc>
          <w:tcPr>
            <w:tcW w:type="dxa" w:w="2268"/>
          </w:tcPr>
          <w:p>
            <w:r>
              <w:rPr>
                <w:rFonts w:ascii="Calibri" w:hAnsi="Calibri"/>
              </w:rPr>
              <w:t>6,000–9,000/cycle</w:t>
            </w:r>
          </w:p>
        </w:tc>
      </w:tr>
    </w:tbl>
    <w:p/>
    <w:p>
      <w:r>
        <w:rPr>
          <w:rFonts w:ascii="Calibri" w:hAnsi="Calibri"/>
          <w:b/>
          <w:i w:val="0"/>
          <w:sz w:val="21"/>
        </w:rPr>
        <w:t xml:space="preserve">Revenue potential: </w:t>
      </w:r>
      <w:r>
        <w:rPr>
          <w:rFonts w:ascii="Calibri" w:hAnsi="Calibri"/>
          <w:b w:val="0"/>
          <w:i w:val="0"/>
          <w:sz w:val="21"/>
        </w:rPr>
        <w:t>A member booking 4 aesthetic appointments/year generates NOK 12,000–30,000 in additional revenue</w:t>
      </w:r>
    </w:p>
    <w:p>
      <w:r>
        <w:rPr>
          <w:rFonts w:ascii="Calibri" w:hAnsi="Calibri"/>
          <w:b/>
          <w:i w:val="0"/>
          <w:sz w:val="21"/>
        </w:rPr>
        <w:t xml:space="preserve">Training required: </w:t>
      </w:r>
      <w:r>
        <w:rPr>
          <w:rFonts w:ascii="Calibri" w:hAnsi="Calibri"/>
          <w:b w:val="0"/>
          <w:i w:val="0"/>
          <w:sz w:val="21"/>
        </w:rPr>
        <w:t>Botox and filler courses for physicians — widely available; 1–3 day certification. Norwegian Dermatological Society and private course providers.</w:t>
      </w:r>
    </w:p>
    <w:p>
      <w:r>
        <w:rPr>
          <w:rFonts w:ascii="Calibri" w:hAnsi="Calibri"/>
          <w:b/>
          <w:i w:val="0"/>
          <w:sz w:val="21"/>
        </w:rPr>
        <w:t xml:space="preserve">Regulatory note: </w:t>
      </w:r>
      <w:r>
        <w:rPr>
          <w:rFonts w:ascii="Calibri" w:hAnsi="Calibri"/>
          <w:b w:val="0"/>
          <w:i w:val="0"/>
          <w:sz w:val="21"/>
        </w:rPr>
        <w:t>In Norway, Botox and filler injections are restricted to licensed healthcare personnel (doctors, dentists, nurses under medical supervision) following the 2021 regulatory tightening. Physician administration is the gold standard.</w:t>
      </w:r>
    </w:p>
    <w:p/>
    <w:p>
      <w:pPr>
        <w:pStyle w:val="Heading2"/>
      </w:pPr>
      <w:r>
        <w:t>B.3  Hormone Optimisation Programme</w:t>
      </w:r>
    </w:p>
    <w:p>
      <w:r>
        <w:rPr>
          <w:rFonts w:ascii="Calibri" w:hAnsi="Calibri"/>
          <w:b w:val="0"/>
          <w:i w:val="0"/>
          <w:sz w:val="21"/>
        </w:rPr>
        <w:t>Hormone imbalances are among the most commonly missed contributors to executive underperformance — fatigue, weight gain, cognitive fog, mood dysregulation, sleep dysfunction. The Ways2Well model places hormone optimisation at the centre of its offering, with significant member uptake and high retention.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Programme</w:t>
            </w:r>
          </w:p>
        </w:tc>
        <w:tc>
          <w:tcPr>
            <w:tcW w:type="dxa" w:w="2268"/>
          </w:tcPr>
          <w:p>
            <w:r>
              <w:rPr>
                <w:rFonts w:ascii="Calibri" w:hAnsi="Calibri"/>
                <w:b/>
              </w:rPr>
              <w:t>Target</w:t>
            </w:r>
          </w:p>
        </w:tc>
        <w:tc>
          <w:tcPr>
            <w:tcW w:type="dxa" w:w="2268"/>
          </w:tcPr>
          <w:p>
            <w:r>
              <w:rPr>
                <w:rFonts w:ascii="Calibri" w:hAnsi="Calibri"/>
                <w:b/>
              </w:rPr>
              <w:t>Approach</w:t>
            </w:r>
          </w:p>
        </w:tc>
        <w:tc>
          <w:tcPr>
            <w:tcW w:type="dxa" w:w="2268"/>
          </w:tcPr>
          <w:p>
            <w:r>
              <w:rPr>
                <w:rFonts w:ascii="Calibri" w:hAnsi="Calibri"/>
                <w:b/>
              </w:rPr>
              <w:t>Price (NOK)</w:t>
            </w:r>
          </w:p>
        </w:tc>
      </w:tr>
      <w:tr>
        <w:tc>
          <w:tcPr>
            <w:tcW w:type="dxa" w:w="2268"/>
          </w:tcPr>
          <w:p>
            <w:r>
              <w:rPr>
                <w:rFonts w:ascii="Calibri" w:hAnsi="Calibri"/>
              </w:rPr>
              <w:t>Male Hormone Optimisation</w:t>
            </w:r>
          </w:p>
        </w:tc>
        <w:tc>
          <w:tcPr>
            <w:tcW w:type="dxa" w:w="2268"/>
          </w:tcPr>
          <w:p>
            <w:r>
              <w:rPr>
                <w:rFonts w:ascii="Calibri" w:hAnsi="Calibri"/>
              </w:rPr>
              <w:t>Testosterone, SHBG, LH, FSH, free T, DHEA-S, cortisol</w:t>
            </w:r>
          </w:p>
        </w:tc>
        <w:tc>
          <w:tcPr>
            <w:tcW w:type="dxa" w:w="2268"/>
          </w:tcPr>
          <w:p>
            <w:r>
              <w:rPr>
                <w:rFonts w:ascii="Calibri" w:hAnsi="Calibri"/>
              </w:rPr>
              <w:t>Full panel → lifestyle + supplement → TRT if indicated. Quarterly monitoring.</w:t>
            </w:r>
          </w:p>
        </w:tc>
        <w:tc>
          <w:tcPr>
            <w:tcW w:type="dxa" w:w="2268"/>
          </w:tcPr>
          <w:p>
            <w:r>
              <w:rPr>
                <w:rFonts w:ascii="Calibri" w:hAnsi="Calibri"/>
              </w:rPr>
              <w:t>15,000–25,000/year (incl. labs)</w:t>
            </w:r>
          </w:p>
        </w:tc>
      </w:tr>
      <w:tr>
        <w:tc>
          <w:tcPr>
            <w:tcW w:type="dxa" w:w="2268"/>
          </w:tcPr>
          <w:p>
            <w:r>
              <w:rPr>
                <w:rFonts w:ascii="Calibri" w:hAnsi="Calibri"/>
              </w:rPr>
              <w:t>Female Hormone Balance</w:t>
            </w:r>
          </w:p>
        </w:tc>
        <w:tc>
          <w:tcPr>
            <w:tcW w:type="dxa" w:w="2268"/>
          </w:tcPr>
          <w:p>
            <w:r>
              <w:rPr>
                <w:rFonts w:ascii="Calibri" w:hAnsi="Calibri"/>
              </w:rPr>
              <w:t>Oestradiol, progesterone, testosterone, DHEA-S, cortisol, thyroid full panel</w:t>
            </w:r>
          </w:p>
        </w:tc>
        <w:tc>
          <w:tcPr>
            <w:tcW w:type="dxa" w:w="2268"/>
          </w:tcPr>
          <w:p>
            <w:r>
              <w:rPr>
                <w:rFonts w:ascii="Calibri" w:hAnsi="Calibri"/>
              </w:rPr>
              <w:t>Perimenopause/menopause management; HRT where appropriate; adrenal support</w:t>
            </w:r>
          </w:p>
        </w:tc>
        <w:tc>
          <w:tcPr>
            <w:tcW w:type="dxa" w:w="2268"/>
          </w:tcPr>
          <w:p>
            <w:r>
              <w:rPr>
                <w:rFonts w:ascii="Calibri" w:hAnsi="Calibri"/>
              </w:rPr>
              <w:t>15,000–25,000/year (incl. labs)</w:t>
            </w:r>
          </w:p>
        </w:tc>
      </w:tr>
      <w:tr>
        <w:tc>
          <w:tcPr>
            <w:tcW w:type="dxa" w:w="2268"/>
          </w:tcPr>
          <w:p>
            <w:r>
              <w:rPr>
                <w:rFonts w:ascii="Calibri" w:hAnsi="Calibri"/>
              </w:rPr>
              <w:t>Thyroid Optimisation</w:t>
            </w:r>
          </w:p>
        </w:tc>
        <w:tc>
          <w:tcPr>
            <w:tcW w:type="dxa" w:w="2268"/>
          </w:tcPr>
          <w:p>
            <w:r>
              <w:rPr>
                <w:rFonts w:ascii="Calibri" w:hAnsi="Calibri"/>
              </w:rPr>
              <w:t>TSH, free T3, free T4, reverse T3, antibodies</w:t>
            </w:r>
          </w:p>
        </w:tc>
        <w:tc>
          <w:tcPr>
            <w:tcW w:type="dxa" w:w="2268"/>
          </w:tcPr>
          <w:p>
            <w:r>
              <w:rPr>
                <w:rFonts w:ascii="Calibri" w:hAnsi="Calibri"/>
              </w:rPr>
              <w:t>Beyond TSH-only approach; T3/T4 combination therapy if symptomatic</w:t>
            </w:r>
          </w:p>
        </w:tc>
        <w:tc>
          <w:tcPr>
            <w:tcW w:type="dxa" w:w="2268"/>
          </w:tcPr>
          <w:p>
            <w:r>
              <w:rPr>
                <w:rFonts w:ascii="Calibri" w:hAnsi="Calibri"/>
              </w:rPr>
              <w:t>8,000–15,000/year (incl. labs)</w:t>
            </w:r>
          </w:p>
        </w:tc>
      </w:tr>
      <w:tr>
        <w:tc>
          <w:tcPr>
            <w:tcW w:type="dxa" w:w="2268"/>
          </w:tcPr>
          <w:p>
            <w:r>
              <w:rPr>
                <w:rFonts w:ascii="Calibri" w:hAnsi="Calibri"/>
              </w:rPr>
              <w:t>Adrenal &amp; Cortisol Programme</w:t>
            </w:r>
          </w:p>
        </w:tc>
        <w:tc>
          <w:tcPr>
            <w:tcW w:type="dxa" w:w="2268"/>
          </w:tcPr>
          <w:p>
            <w:r>
              <w:rPr>
                <w:rFonts w:ascii="Calibri" w:hAnsi="Calibri"/>
              </w:rPr>
              <w:t>4-point salivary cortisol, DHEA, morning cortisol, ACTH</w:t>
            </w:r>
          </w:p>
        </w:tc>
        <w:tc>
          <w:tcPr>
            <w:tcW w:type="dxa" w:w="2268"/>
          </w:tcPr>
          <w:p>
            <w:r>
              <w:rPr>
                <w:rFonts w:ascii="Calibri" w:hAnsi="Calibri"/>
              </w:rPr>
              <w:t>Burnout pattern identification; adaptogen + lifestyle protocol</w:t>
            </w:r>
          </w:p>
        </w:tc>
        <w:tc>
          <w:tcPr>
            <w:tcW w:type="dxa" w:w="2268"/>
          </w:tcPr>
          <w:p>
            <w:r>
              <w:rPr>
                <w:rFonts w:ascii="Calibri" w:hAnsi="Calibri"/>
              </w:rPr>
              <w:t>6,000–12,000/year</w:t>
            </w:r>
          </w:p>
        </w:tc>
      </w:tr>
      <w:tr>
        <w:tc>
          <w:tcPr>
            <w:tcW w:type="dxa" w:w="2268"/>
          </w:tcPr>
          <w:p>
            <w:r>
              <w:rPr>
                <w:rFonts w:ascii="Calibri" w:hAnsi="Calibri"/>
              </w:rPr>
              <w:t>Metabolic Health Programme</w:t>
            </w:r>
          </w:p>
        </w:tc>
        <w:tc>
          <w:tcPr>
            <w:tcW w:type="dxa" w:w="2268"/>
          </w:tcPr>
          <w:p>
            <w:r>
              <w:rPr>
                <w:rFonts w:ascii="Calibri" w:hAnsi="Calibri"/>
              </w:rPr>
              <w:t>Fasting insulin, HOMA-IR, HbA1c, ApoB, Lp(a), CGM trial</w:t>
            </w:r>
          </w:p>
        </w:tc>
        <w:tc>
          <w:tcPr>
            <w:tcW w:type="dxa" w:w="2268"/>
          </w:tcPr>
          <w:p>
            <w:r>
              <w:rPr>
                <w:rFonts w:ascii="Calibri" w:hAnsi="Calibri"/>
              </w:rPr>
              <w:t>Insulin resistance reversal; CGM-guided dietary changes; berberine/metformin if indicated</w:t>
            </w:r>
          </w:p>
        </w:tc>
        <w:tc>
          <w:tcPr>
            <w:tcW w:type="dxa" w:w="2268"/>
          </w:tcPr>
          <w:p>
            <w:r>
              <w:rPr>
                <w:rFonts w:ascii="Calibri" w:hAnsi="Calibri"/>
              </w:rPr>
              <w:t>10,000–18,000/year (incl. CGM)</w:t>
            </w:r>
          </w:p>
        </w:tc>
      </w:tr>
    </w:tbl>
    <w:p/>
    <w:p>
      <w:pPr>
        <w:pStyle w:val="Heading2"/>
      </w:pPr>
      <w:r>
        <w:t>B.4  Longevity &amp; Performance Optimisation</w:t>
      </w:r>
    </w:p>
    <w:p>
      <w:r>
        <w:rPr>
          <w:rFonts w:ascii="Calibri" w:hAnsi="Calibri"/>
          <w:b w:val="0"/>
          <w:i w:val="0"/>
          <w:sz w:val="21"/>
        </w:rPr>
        <w:t>Inspired by the global longevity medicine movement (Peter Attia, Andrew Huberman, David Sinclair) and concierge practices like Ways2Well and Parsley Health, the longevity offering positions the practice at the cutting edge of what evidence-based medicine can offer executives who want to perform at their peak for decades.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Description</w:t>
            </w:r>
          </w:p>
        </w:tc>
        <w:tc>
          <w:tcPr>
            <w:tcW w:type="dxa" w:w="3024"/>
          </w:tcPr>
          <w:p>
            <w:r>
              <w:rPr>
                <w:rFonts w:ascii="Calibri" w:hAnsi="Calibri"/>
                <w:b/>
              </w:rPr>
              <w:t>Price (NOK)</w:t>
            </w:r>
          </w:p>
        </w:tc>
      </w:tr>
      <w:tr>
        <w:tc>
          <w:tcPr>
            <w:tcW w:type="dxa" w:w="3024"/>
          </w:tcPr>
          <w:p>
            <w:r>
              <w:rPr>
                <w:rFonts w:ascii="Calibri" w:hAnsi="Calibri"/>
              </w:rPr>
              <w:t>VO2max Testing &amp; Training Protocol</w:t>
            </w:r>
          </w:p>
        </w:tc>
        <w:tc>
          <w:tcPr>
            <w:tcW w:type="dxa" w:w="3024"/>
          </w:tcPr>
          <w:p>
            <w:r>
              <w:rPr>
                <w:rFonts w:ascii="Calibri" w:hAnsi="Calibri"/>
              </w:rPr>
              <w:t>CPET or field test estimation; personalised Zone 2 and interval protocol</w:t>
            </w:r>
          </w:p>
        </w:tc>
        <w:tc>
          <w:tcPr>
            <w:tcW w:type="dxa" w:w="3024"/>
          </w:tcPr>
          <w:p>
            <w:r>
              <w:rPr>
                <w:rFonts w:ascii="Calibri" w:hAnsi="Calibri"/>
              </w:rPr>
              <w:t>5,000–8,000 (assessment + 3-month protocol)</w:t>
            </w:r>
          </w:p>
        </w:tc>
      </w:tr>
      <w:tr>
        <w:tc>
          <w:tcPr>
            <w:tcW w:type="dxa" w:w="3024"/>
          </w:tcPr>
          <w:p>
            <w:r>
              <w:rPr>
                <w:rFonts w:ascii="Calibri" w:hAnsi="Calibri"/>
              </w:rPr>
              <w:t>Body Composition Deep Dive</w:t>
            </w:r>
          </w:p>
        </w:tc>
        <w:tc>
          <w:tcPr>
            <w:tcW w:type="dxa" w:w="3024"/>
          </w:tcPr>
          <w:p>
            <w:r>
              <w:rPr>
                <w:rFonts w:ascii="Calibri" w:hAnsi="Calibri"/>
              </w:rPr>
              <w:t>DEXA scan referral + InBody + visceral fat tracking over time</w:t>
            </w:r>
          </w:p>
        </w:tc>
        <w:tc>
          <w:tcPr>
            <w:tcW w:type="dxa" w:w="3024"/>
          </w:tcPr>
          <w:p>
            <w:r>
              <w:rPr>
                <w:rFonts w:ascii="Calibri" w:hAnsi="Calibri"/>
              </w:rPr>
              <w:t>3,000–5,000 (annual programme)</w:t>
            </w:r>
          </w:p>
        </w:tc>
      </w:tr>
      <w:tr>
        <w:tc>
          <w:tcPr>
            <w:tcW w:type="dxa" w:w="3024"/>
          </w:tcPr>
          <w:p>
            <w:r>
              <w:rPr>
                <w:rFonts w:ascii="Calibri" w:hAnsi="Calibri"/>
              </w:rPr>
              <w:t>Continuous Glucose Monitor (CGM) Trial</w:t>
            </w:r>
          </w:p>
        </w:tc>
        <w:tc>
          <w:tcPr>
            <w:tcW w:type="dxa" w:w="3024"/>
          </w:tcPr>
          <w:p>
            <w:r>
              <w:rPr>
                <w:rFonts w:ascii="Calibri" w:hAnsi="Calibri"/>
              </w:rPr>
              <w:t>14–28 day CGM with AI-guided dietary feedback and pattern analysis</w:t>
            </w:r>
          </w:p>
        </w:tc>
        <w:tc>
          <w:tcPr>
            <w:tcW w:type="dxa" w:w="3024"/>
          </w:tcPr>
          <w:p>
            <w:r>
              <w:rPr>
                <w:rFonts w:ascii="Calibri" w:hAnsi="Calibri"/>
              </w:rPr>
              <w:t>4,000–6,000 (device + interpretation)</w:t>
            </w:r>
          </w:p>
        </w:tc>
      </w:tr>
      <w:tr>
        <w:tc>
          <w:tcPr>
            <w:tcW w:type="dxa" w:w="3024"/>
          </w:tcPr>
          <w:p>
            <w:r>
              <w:rPr>
                <w:rFonts w:ascii="Calibri" w:hAnsi="Calibri"/>
              </w:rPr>
              <w:t>Comprehensive Longevity Panel</w:t>
            </w:r>
          </w:p>
        </w:tc>
        <w:tc>
          <w:tcPr>
            <w:tcW w:type="dxa" w:w="3024"/>
          </w:tcPr>
          <w:p>
            <w:r>
              <w:rPr>
                <w:rFonts w:ascii="Calibri" w:hAnsi="Calibri"/>
              </w:rPr>
              <w:t>ApoB, Lp(a), homocysteine, GlycanAge, omega-3 index, advanced thyroid, hormones, cancer screening</w:t>
            </w:r>
          </w:p>
        </w:tc>
        <w:tc>
          <w:tcPr>
            <w:tcW w:type="dxa" w:w="3024"/>
          </w:tcPr>
          <w:p>
            <w:r>
              <w:rPr>
                <w:rFonts w:ascii="Calibri" w:hAnsi="Calibri"/>
              </w:rPr>
              <w:t>8,000–15,000 (labs + full interpretation)</w:t>
            </w:r>
          </w:p>
        </w:tc>
      </w:tr>
      <w:tr>
        <w:tc>
          <w:tcPr>
            <w:tcW w:type="dxa" w:w="3024"/>
          </w:tcPr>
          <w:p>
            <w:r>
              <w:rPr>
                <w:rFonts w:ascii="Calibri" w:hAnsi="Calibri"/>
              </w:rPr>
              <w:t>Sleep Optimisation Programme</w:t>
            </w:r>
          </w:p>
        </w:tc>
        <w:tc>
          <w:tcPr>
            <w:tcW w:type="dxa" w:w="3024"/>
          </w:tcPr>
          <w:p>
            <w:r>
              <w:rPr>
                <w:rFonts w:ascii="Calibri" w:hAnsi="Calibri"/>
              </w:rPr>
              <w:t>Oura data analysis + lab review (cortisol, magnesium, melatonin) + protocol</w:t>
            </w:r>
          </w:p>
        </w:tc>
        <w:tc>
          <w:tcPr>
            <w:tcW w:type="dxa" w:w="3024"/>
          </w:tcPr>
          <w:p>
            <w:r>
              <w:rPr>
                <w:rFonts w:ascii="Calibri" w:hAnsi="Calibri"/>
              </w:rPr>
              <w:t>5,000–8,000</w:t>
            </w:r>
          </w:p>
        </w:tc>
      </w:tr>
      <w:tr>
        <w:tc>
          <w:tcPr>
            <w:tcW w:type="dxa" w:w="3024"/>
          </w:tcPr>
          <w:p>
            <w:r>
              <w:rPr>
                <w:rFonts w:ascii="Calibri" w:hAnsi="Calibri"/>
              </w:rPr>
              <w:t>Cognitive Performance Programme</w:t>
            </w:r>
          </w:p>
        </w:tc>
        <w:tc>
          <w:tcPr>
            <w:tcW w:type="dxa" w:w="3024"/>
          </w:tcPr>
          <w:p>
            <w:r>
              <w:rPr>
                <w:rFonts w:ascii="Calibri" w:hAnsi="Calibri"/>
              </w:rPr>
              <w:t>Baseline cognitive testing + lab review + supplement/lifestyle protocol</w:t>
            </w:r>
          </w:p>
        </w:tc>
        <w:tc>
          <w:tcPr>
            <w:tcW w:type="dxa" w:w="3024"/>
          </w:tcPr>
          <w:p>
            <w:r>
              <w:rPr>
                <w:rFonts w:ascii="Calibri" w:hAnsi="Calibri"/>
              </w:rPr>
              <w:t>6,000–10,000</w:t>
            </w:r>
          </w:p>
        </w:tc>
      </w:tr>
      <w:tr>
        <w:tc>
          <w:tcPr>
            <w:tcW w:type="dxa" w:w="3024"/>
          </w:tcPr>
          <w:p>
            <w:r>
              <w:rPr>
                <w:rFonts w:ascii="Calibri" w:hAnsi="Calibri"/>
              </w:rPr>
              <w:t>NAD+ Optimisation Programme</w:t>
            </w:r>
          </w:p>
        </w:tc>
        <w:tc>
          <w:tcPr>
            <w:tcW w:type="dxa" w:w="3024"/>
          </w:tcPr>
          <w:p>
            <w:r>
              <w:rPr>
                <w:rFonts w:ascii="Calibri" w:hAnsi="Calibri"/>
              </w:rPr>
              <w:t>Baseline NAD+ precursor protocol + quarterly IV NAD+ infusions</w:t>
            </w:r>
          </w:p>
        </w:tc>
        <w:tc>
          <w:tcPr>
            <w:tcW w:type="dxa" w:w="3024"/>
          </w:tcPr>
          <w:p>
            <w:r>
              <w:rPr>
                <w:rFonts w:ascii="Calibri" w:hAnsi="Calibri"/>
              </w:rPr>
              <w:t>20,000–30,000/year (supplements + 4 IV sessions)</w:t>
            </w:r>
          </w:p>
        </w:tc>
      </w:tr>
      <w:tr>
        <w:tc>
          <w:tcPr>
            <w:tcW w:type="dxa" w:w="3024"/>
          </w:tcPr>
          <w:p>
            <w:r>
              <w:rPr>
                <w:rFonts w:ascii="Calibri" w:hAnsi="Calibri"/>
              </w:rPr>
              <w:t>Annual Longevity Report</w:t>
            </w:r>
          </w:p>
        </w:tc>
        <w:tc>
          <w:tcPr>
            <w:tcW w:type="dxa" w:w="3024"/>
          </w:tcPr>
          <w:p>
            <w:r>
              <w:rPr>
                <w:rFonts w:ascii="Calibri" w:hAnsi="Calibri"/>
              </w:rPr>
              <w:t>Comprehensive 12-month health review; AI-synthesised trends; 5-year health roadmap</w:t>
            </w:r>
          </w:p>
        </w:tc>
        <w:tc>
          <w:tcPr>
            <w:tcW w:type="dxa" w:w="3024"/>
          </w:tcPr>
          <w:p>
            <w:r>
              <w:rPr>
                <w:rFonts w:ascii="Calibri" w:hAnsi="Calibri"/>
              </w:rPr>
              <w:t>8,000–12,000</w:t>
            </w:r>
          </w:p>
        </w:tc>
      </w:tr>
    </w:tbl>
    <w:p/>
    <w:p>
      <w:pPr>
        <w:pStyle w:val="Heading2"/>
      </w:pPr>
      <w:r>
        <w:t>B.5  Pricing Strategy for Premium Services</w:t>
      </w:r>
    </w:p>
    <w:p>
      <w:r>
        <w:rPr>
          <w:rFonts w:ascii="Calibri" w:hAnsi="Calibri"/>
          <w:b w:val="0"/>
          <w:i w:val="0"/>
          <w:sz w:val="21"/>
        </w:rPr>
        <w:t>Premium services should be priced to reflect their clinical value, physician expertise, and the exclusivity of the setting — not to compete with beauty clinics or walk-in IV bars. The physician credential commands a premium.</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Pricing Principle</w:t>
            </w:r>
          </w:p>
        </w:tc>
        <w:tc>
          <w:tcPr>
            <w:tcW w:type="dxa" w:w="4536"/>
          </w:tcPr>
          <w:p>
            <w:r>
              <w:rPr>
                <w:rFonts w:ascii="Calibri" w:hAnsi="Calibri"/>
                <w:b/>
              </w:rPr>
              <w:t>Application</w:t>
            </w:r>
          </w:p>
        </w:tc>
      </w:tr>
      <w:tr>
        <w:tc>
          <w:tcPr>
            <w:tcW w:type="dxa" w:w="4536"/>
          </w:tcPr>
          <w:p>
            <w:r>
              <w:rPr>
                <w:rFonts w:ascii="Calibri" w:hAnsi="Calibri"/>
              </w:rPr>
              <w:t>Anchor high, offer packages</w:t>
            </w:r>
          </w:p>
        </w:tc>
        <w:tc>
          <w:tcPr>
            <w:tcW w:type="dxa" w:w="4536"/>
          </w:tcPr>
          <w:p>
            <w:r>
              <w:rPr>
                <w:rFonts w:ascii="Calibri" w:hAnsi="Calibri"/>
              </w:rPr>
              <w:t>Present individual session prices first; offer 3-session or annual packages at 10–15% discount</w:t>
            </w:r>
          </w:p>
        </w:tc>
      </w:tr>
      <w:tr>
        <w:tc>
          <w:tcPr>
            <w:tcW w:type="dxa" w:w="4536"/>
          </w:tcPr>
          <w:p>
            <w:r>
              <w:rPr>
                <w:rFonts w:ascii="Calibri" w:hAnsi="Calibri"/>
              </w:rPr>
              <w:t>Member pricing vs. non-member</w:t>
            </w:r>
          </w:p>
        </w:tc>
        <w:tc>
          <w:tcPr>
            <w:tcW w:type="dxa" w:w="4536"/>
          </w:tcPr>
          <w:p>
            <w:r>
              <w:rPr>
                <w:rFonts w:ascii="Calibri" w:hAnsi="Calibri"/>
              </w:rPr>
              <w:t>Members receive 15–20% discount on all premium services vs. walk-in rate — reinforces membership value</w:t>
            </w:r>
          </w:p>
        </w:tc>
      </w:tr>
      <w:tr>
        <w:tc>
          <w:tcPr>
            <w:tcW w:type="dxa" w:w="4536"/>
          </w:tcPr>
          <w:p>
            <w:r>
              <w:rPr>
                <w:rFonts w:ascii="Calibri" w:hAnsi="Calibri"/>
              </w:rPr>
              <w:t>Bundle with membership tier upgrade</w:t>
            </w:r>
          </w:p>
        </w:tc>
        <w:tc>
          <w:tcPr>
            <w:tcW w:type="dxa" w:w="4536"/>
          </w:tcPr>
          <w:p>
            <w:r>
              <w:rPr>
                <w:rFonts w:ascii="Calibri" w:hAnsi="Calibri"/>
              </w:rPr>
              <w:t>Partneren Pro members receive 1 IV session/quarter included — drives tier upgrades</w:t>
            </w:r>
          </w:p>
        </w:tc>
      </w:tr>
      <w:tr>
        <w:tc>
          <w:tcPr>
            <w:tcW w:type="dxa" w:w="4536"/>
          </w:tcPr>
          <w:p>
            <w:r>
              <w:rPr>
                <w:rFonts w:ascii="Calibri" w:hAnsi="Calibri"/>
              </w:rPr>
              <w:t>Corporate wellness packages</w:t>
            </w:r>
          </w:p>
        </w:tc>
        <w:tc>
          <w:tcPr>
            <w:tcW w:type="dxa" w:w="4536"/>
          </w:tcPr>
          <w:p>
            <w:r>
              <w:rPr>
                <w:rFonts w:ascii="Calibri" w:hAnsi="Calibri"/>
              </w:rPr>
              <w:t>Negotiate annual agreements with Oslo companies — IV sessions + aesthetics + longevity panels as executive wellness benefits</w:t>
            </w:r>
          </w:p>
        </w:tc>
      </w:tr>
      <w:tr>
        <w:tc>
          <w:tcPr>
            <w:tcW w:type="dxa" w:w="4536"/>
          </w:tcPr>
          <w:p>
            <w:r>
              <w:rPr>
                <w:rFonts w:ascii="Calibri" w:hAnsi="Calibri"/>
              </w:rPr>
              <w:t>Gift certificates</w:t>
            </w:r>
          </w:p>
        </w:tc>
        <w:tc>
          <w:tcPr>
            <w:tcW w:type="dxa" w:w="4536"/>
          </w:tcPr>
          <w:p>
            <w:r>
              <w:rPr>
                <w:rFonts w:ascii="Calibri" w:hAnsi="Calibri"/>
              </w:rPr>
              <w:t>Premium gift option for spouses, partners — strong demand in Oslo corporate gifting culture</w:t>
            </w:r>
          </w:p>
        </w:tc>
      </w:tr>
    </w:tbl>
    <w:p/>
    <w:p>
      <w:pPr>
        <w:pStyle w:val="Heading2"/>
      </w:pPr>
      <w:r>
        <w:t>B.6  Additional Revenue from Premium Services</w:t>
      </w:r>
    </w:p>
    <w:p>
      <w:r>
        <w:rPr>
          <w:rFonts w:ascii="Calibri" w:hAnsi="Calibri"/>
          <w:b w:val="0"/>
          <w:i w:val="0"/>
          <w:sz w:val="21"/>
        </w:rPr>
        <w:t>Conservative estimates for a 50-member practice with optional service uptake of 30%:</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 Category</w:t>
            </w:r>
          </w:p>
        </w:tc>
        <w:tc>
          <w:tcPr>
            <w:tcW w:type="dxa" w:w="2268"/>
          </w:tcPr>
          <w:p>
            <w:r>
              <w:rPr>
                <w:rFonts w:ascii="Calibri" w:hAnsi="Calibri"/>
                <w:b/>
              </w:rPr>
              <w:t>Sessions/Month</w:t>
            </w:r>
          </w:p>
        </w:tc>
        <w:tc>
          <w:tcPr>
            <w:tcW w:type="dxa" w:w="2268"/>
          </w:tcPr>
          <w:p>
            <w:r>
              <w:rPr>
                <w:rFonts w:ascii="Calibri" w:hAnsi="Calibri"/>
                <w:b/>
              </w:rPr>
              <w:t>Avg. Price</w:t>
            </w:r>
          </w:p>
        </w:tc>
        <w:tc>
          <w:tcPr>
            <w:tcW w:type="dxa" w:w="2268"/>
          </w:tcPr>
          <w:p>
            <w:r>
              <w:rPr>
                <w:rFonts w:ascii="Calibri" w:hAnsi="Calibri"/>
                <w:b/>
              </w:rPr>
              <w:t>Monthly Revenue</w:t>
            </w:r>
          </w:p>
        </w:tc>
      </w:tr>
      <w:tr>
        <w:tc>
          <w:tcPr>
            <w:tcW w:type="dxa" w:w="2268"/>
          </w:tcPr>
          <w:p>
            <w:r>
              <w:rPr>
                <w:rFonts w:ascii="Calibri" w:hAnsi="Calibri"/>
              </w:rPr>
              <w:t>IV Therapy (various protocols)</w:t>
            </w:r>
          </w:p>
        </w:tc>
        <w:tc>
          <w:tcPr>
            <w:tcW w:type="dxa" w:w="2268"/>
          </w:tcPr>
          <w:p>
            <w:r>
              <w:rPr>
                <w:rFonts w:ascii="Calibri" w:hAnsi="Calibri"/>
              </w:rPr>
              <w:t>12–20</w:t>
            </w:r>
          </w:p>
        </w:tc>
        <w:tc>
          <w:tcPr>
            <w:tcW w:type="dxa" w:w="2268"/>
          </w:tcPr>
          <w:p>
            <w:r>
              <w:rPr>
                <w:rFonts w:ascii="Calibri" w:hAnsi="Calibri"/>
              </w:rPr>
              <w:t>NOK 3,000</w:t>
            </w:r>
          </w:p>
        </w:tc>
        <w:tc>
          <w:tcPr>
            <w:tcW w:type="dxa" w:w="2268"/>
          </w:tcPr>
          <w:p>
            <w:r>
              <w:rPr>
                <w:rFonts w:ascii="Calibri" w:hAnsi="Calibri"/>
              </w:rPr>
              <w:t>NOK 36,000–60,000</w:t>
            </w:r>
          </w:p>
        </w:tc>
      </w:tr>
      <w:tr>
        <w:tc>
          <w:tcPr>
            <w:tcW w:type="dxa" w:w="2268"/>
          </w:tcPr>
          <w:p>
            <w:r>
              <w:rPr>
                <w:rFonts w:ascii="Calibri" w:hAnsi="Calibri"/>
              </w:rPr>
              <w:t>Medical Aesthetics (Botox/filler/skin)</w:t>
            </w:r>
          </w:p>
        </w:tc>
        <w:tc>
          <w:tcPr>
            <w:tcW w:type="dxa" w:w="2268"/>
          </w:tcPr>
          <w:p>
            <w:r>
              <w:rPr>
                <w:rFonts w:ascii="Calibri" w:hAnsi="Calibri"/>
              </w:rPr>
              <w:t>8–15</w:t>
            </w:r>
          </w:p>
        </w:tc>
        <w:tc>
          <w:tcPr>
            <w:tcW w:type="dxa" w:w="2268"/>
          </w:tcPr>
          <w:p>
            <w:r>
              <w:rPr>
                <w:rFonts w:ascii="Calibri" w:hAnsi="Calibri"/>
              </w:rPr>
              <w:t>NOK 6,000</w:t>
            </w:r>
          </w:p>
        </w:tc>
        <w:tc>
          <w:tcPr>
            <w:tcW w:type="dxa" w:w="2268"/>
          </w:tcPr>
          <w:p>
            <w:r>
              <w:rPr>
                <w:rFonts w:ascii="Calibri" w:hAnsi="Calibri"/>
              </w:rPr>
              <w:t>NOK 48,000–90,000</w:t>
            </w:r>
          </w:p>
        </w:tc>
      </w:tr>
      <w:tr>
        <w:tc>
          <w:tcPr>
            <w:tcW w:type="dxa" w:w="2268"/>
          </w:tcPr>
          <w:p>
            <w:r>
              <w:rPr>
                <w:rFonts w:ascii="Calibri" w:hAnsi="Calibri"/>
              </w:rPr>
              <w:t>Hormone Optimisation Programmes</w:t>
            </w:r>
          </w:p>
        </w:tc>
        <w:tc>
          <w:tcPr>
            <w:tcW w:type="dxa" w:w="2268"/>
          </w:tcPr>
          <w:p>
            <w:r>
              <w:rPr>
                <w:rFonts w:ascii="Calibri" w:hAnsi="Calibri"/>
              </w:rPr>
              <w:t>5–10 new/year</w:t>
            </w:r>
          </w:p>
        </w:tc>
        <w:tc>
          <w:tcPr>
            <w:tcW w:type="dxa" w:w="2268"/>
          </w:tcPr>
          <w:p>
            <w:r>
              <w:rPr>
                <w:rFonts w:ascii="Calibri" w:hAnsi="Calibri"/>
              </w:rPr>
              <w:t>NOK 20,000/year</w:t>
            </w:r>
          </w:p>
        </w:tc>
        <w:tc>
          <w:tcPr>
            <w:tcW w:type="dxa" w:w="2268"/>
          </w:tcPr>
          <w:p>
            <w:r>
              <w:rPr>
                <w:rFonts w:ascii="Calibri" w:hAnsi="Calibri"/>
              </w:rPr>
              <w:t>NOK 8,000–17,000</w:t>
            </w:r>
          </w:p>
        </w:tc>
      </w:tr>
      <w:tr>
        <w:tc>
          <w:tcPr>
            <w:tcW w:type="dxa" w:w="2268"/>
          </w:tcPr>
          <w:p>
            <w:r>
              <w:rPr>
                <w:rFonts w:ascii="Calibri" w:hAnsi="Calibri"/>
              </w:rPr>
              <w:t>Longevity Panels &amp; Reports</w:t>
            </w:r>
          </w:p>
        </w:tc>
        <w:tc>
          <w:tcPr>
            <w:tcW w:type="dxa" w:w="2268"/>
          </w:tcPr>
          <w:p>
            <w:r>
              <w:rPr>
                <w:rFonts w:ascii="Calibri" w:hAnsi="Calibri"/>
              </w:rPr>
              <w:t>5–8</w:t>
            </w:r>
          </w:p>
        </w:tc>
        <w:tc>
          <w:tcPr>
            <w:tcW w:type="dxa" w:w="2268"/>
          </w:tcPr>
          <w:p>
            <w:r>
              <w:rPr>
                <w:rFonts w:ascii="Calibri" w:hAnsi="Calibri"/>
              </w:rPr>
              <w:t>NOK 10,000</w:t>
            </w:r>
          </w:p>
        </w:tc>
        <w:tc>
          <w:tcPr>
            <w:tcW w:type="dxa" w:w="2268"/>
          </w:tcPr>
          <w:p>
            <w:r>
              <w:rPr>
                <w:rFonts w:ascii="Calibri" w:hAnsi="Calibri"/>
              </w:rPr>
              <w:t>NOK 50,000–80,000</w:t>
            </w:r>
          </w:p>
        </w:tc>
      </w:tr>
      <w:tr>
        <w:tc>
          <w:tcPr>
            <w:tcW w:type="dxa" w:w="2268"/>
          </w:tcPr>
          <w:p>
            <w:r>
              <w:rPr>
                <w:rFonts w:ascii="Calibri" w:hAnsi="Calibri"/>
              </w:rPr>
              <w:t>Supplement Protocols (dispensed)</w:t>
            </w:r>
          </w:p>
        </w:tc>
        <w:tc>
          <w:tcPr>
            <w:tcW w:type="dxa" w:w="2268"/>
          </w:tcPr>
          <w:p>
            <w:r>
              <w:rPr>
                <w:rFonts w:ascii="Calibri" w:hAnsi="Calibri"/>
              </w:rPr>
              <w:t>15–25 members</w:t>
            </w:r>
          </w:p>
        </w:tc>
        <w:tc>
          <w:tcPr>
            <w:tcW w:type="dxa" w:w="2268"/>
          </w:tcPr>
          <w:p>
            <w:r>
              <w:rPr>
                <w:rFonts w:ascii="Calibri" w:hAnsi="Calibri"/>
              </w:rPr>
              <w:t>NOK 1,500/month</w:t>
            </w:r>
          </w:p>
        </w:tc>
        <w:tc>
          <w:tcPr>
            <w:tcW w:type="dxa" w:w="2268"/>
          </w:tcPr>
          <w:p>
            <w:r>
              <w:rPr>
                <w:rFonts w:ascii="Calibri" w:hAnsi="Calibri"/>
              </w:rPr>
              <w:t>NOK 22,500–37,500</w:t>
            </w:r>
          </w:p>
        </w:tc>
      </w:tr>
      <w:tr>
        <w:tc>
          <w:tcPr>
            <w:tcW w:type="dxa" w:w="2268"/>
          </w:tcPr>
          <w:p>
            <w:r>
              <w:rPr>
                <w:rFonts w:ascii="Calibri" w:hAnsi="Calibri"/>
              </w:rPr>
              <w:t>Total Additional Revenue</w:t>
            </w:r>
          </w:p>
        </w:tc>
        <w:tc>
          <w:tcPr>
            <w:tcW w:type="dxa" w:w="2268"/>
          </w:tcPr>
          <w:p>
            <w:r>
              <w:rPr>
                <w:rFonts w:ascii="Calibri" w:hAnsi="Calibri"/>
              </w:rPr>
            </w:r>
          </w:p>
        </w:tc>
        <w:tc>
          <w:tcPr>
            <w:tcW w:type="dxa" w:w="2268"/>
          </w:tcPr>
          <w:p>
            <w:r>
              <w:rPr>
                <w:rFonts w:ascii="Calibri" w:hAnsi="Calibri"/>
              </w:rPr>
            </w:r>
          </w:p>
        </w:tc>
        <w:tc>
          <w:tcPr>
            <w:tcW w:type="dxa" w:w="2268"/>
          </w:tcPr>
          <w:p>
            <w:r>
              <w:rPr>
                <w:rFonts w:ascii="Calibri" w:hAnsi="Calibri"/>
              </w:rPr>
              <w:t>NOK 164,500–284,500/month</w:t>
            </w:r>
          </w:p>
        </w:tc>
      </w:tr>
    </w:tbl>
    <w:p/>
    <w:p>
      <w:r>
        <w:rPr>
          <w:rFonts w:ascii="Calibri" w:hAnsi="Calibri"/>
          <w:b w:val="0"/>
          <w:i w:val="0"/>
          <w:sz w:val="21"/>
        </w:rPr>
        <w:t xml:space="preserve">At full service uptake, premium services could match or exceed core membership revenue — </w:t>
      </w:r>
      <w:r>
        <w:rPr>
          <w:rFonts w:ascii="Calibri" w:hAnsi="Calibri"/>
          <w:b/>
          <w:i w:val="0"/>
          <w:sz w:val="21"/>
        </w:rPr>
        <w:t>effectively doubling the practice's revenue potential to NOK 10–12M per year.</w:t>
      </w:r>
    </w:p>
    <w:p/>
    <w:p>
      <w:pPr>
        <w:pStyle w:val="Heading2"/>
      </w:pPr>
      <w:r>
        <w:t>B.7  Regulatory Considerations for Premium Services in Norway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Regulatory Status</w:t>
            </w:r>
          </w:p>
        </w:tc>
        <w:tc>
          <w:tcPr>
            <w:tcW w:type="dxa" w:w="3024"/>
          </w:tcPr>
          <w:p>
            <w:r>
              <w:rPr>
                <w:rFonts w:ascii="Calibri" w:hAnsi="Calibri"/>
                <w:b/>
              </w:rPr>
              <w:t>Action Required</w:t>
            </w:r>
          </w:p>
        </w:tc>
      </w:tr>
      <w:tr>
        <w:tc>
          <w:tcPr>
            <w:tcW w:type="dxa" w:w="3024"/>
          </w:tcPr>
          <w:p>
            <w:r>
              <w:rPr>
                <w:rFonts w:ascii="Calibri" w:hAnsi="Calibri"/>
              </w:rPr>
              <w:t>IV Therapy</w:t>
            </w:r>
          </w:p>
        </w:tc>
        <w:tc>
          <w:tcPr>
            <w:tcW w:type="dxa" w:w="3024"/>
          </w:tcPr>
          <w:p>
            <w:r>
              <w:rPr>
                <w:rFonts w:ascii="Calibri" w:hAnsi="Calibri"/>
              </w:rPr>
              <w:t>Legal — physician must prescribe and supervise</w:t>
            </w:r>
          </w:p>
        </w:tc>
        <w:tc>
          <w:tcPr>
            <w:tcW w:type="dxa" w:w="3024"/>
          </w:tcPr>
          <w:p>
            <w:r>
              <w:rPr>
                <w:rFonts w:ascii="Calibri" w:hAnsi="Calibri"/>
              </w:rPr>
              <w:t>Standard pharmaceutical procurement; sterile technique training</w:t>
            </w:r>
          </w:p>
        </w:tc>
      </w:tr>
      <w:tr>
        <w:tc>
          <w:tcPr>
            <w:tcW w:type="dxa" w:w="3024"/>
          </w:tcPr>
          <w:p>
            <w:r>
              <w:rPr>
                <w:rFonts w:ascii="Calibri" w:hAnsi="Calibri"/>
              </w:rPr>
              <w:t>Botox / Botulinum Toxin</w:t>
            </w:r>
          </w:p>
        </w:tc>
        <w:tc>
          <w:tcPr>
            <w:tcW w:type="dxa" w:w="3024"/>
          </w:tcPr>
          <w:p>
            <w:r>
              <w:rPr>
                <w:rFonts w:ascii="Calibri" w:hAnsi="Calibri"/>
              </w:rPr>
              <w:t>Restricted to licensed healthcare personnel (2021 law)</w:t>
            </w:r>
          </w:p>
        </w:tc>
        <w:tc>
          <w:tcPr>
            <w:tcW w:type="dxa" w:w="3024"/>
          </w:tcPr>
          <w:p>
            <w:r>
              <w:rPr>
                <w:rFonts w:ascii="Calibri" w:hAnsi="Calibri"/>
              </w:rPr>
              <w:t>Physician can administer directly — gold standard; may delegate to nurse under supervision</w:t>
            </w:r>
          </w:p>
        </w:tc>
      </w:tr>
      <w:tr>
        <w:tc>
          <w:tcPr>
            <w:tcW w:type="dxa" w:w="3024"/>
          </w:tcPr>
          <w:p>
            <w:r>
              <w:rPr>
                <w:rFonts w:ascii="Calibri" w:hAnsi="Calibri"/>
              </w:rPr>
              <w:t>Dermal Fillers</w:t>
            </w:r>
          </w:p>
        </w:tc>
        <w:tc>
          <w:tcPr>
            <w:tcW w:type="dxa" w:w="3024"/>
          </w:tcPr>
          <w:p>
            <w:r>
              <w:rPr>
                <w:rFonts w:ascii="Calibri" w:hAnsi="Calibri"/>
              </w:rPr>
              <w:t>Restricted to licensed healthcare personnel (2021 law)</w:t>
            </w:r>
          </w:p>
        </w:tc>
        <w:tc>
          <w:tcPr>
            <w:tcW w:type="dxa" w:w="3024"/>
          </w:tcPr>
          <w:p>
            <w:r>
              <w:rPr>
                <w:rFonts w:ascii="Calibri" w:hAnsi="Calibri"/>
              </w:rPr>
              <w:t>Same as Botox — physician administration preferred</w:t>
            </w:r>
          </w:p>
        </w:tc>
      </w:tr>
      <w:tr>
        <w:tc>
          <w:tcPr>
            <w:tcW w:type="dxa" w:w="3024"/>
          </w:tcPr>
          <w:p>
            <w:r>
              <w:rPr>
                <w:rFonts w:ascii="Calibri" w:hAnsi="Calibri"/>
              </w:rPr>
              <w:t>Hormone Prescribing (TRT, HRT)</w:t>
            </w:r>
          </w:p>
        </w:tc>
        <w:tc>
          <w:tcPr>
            <w:tcW w:type="dxa" w:w="3024"/>
          </w:tcPr>
          <w:p>
            <w:r>
              <w:rPr>
                <w:rFonts w:ascii="Calibri" w:hAnsi="Calibri"/>
              </w:rPr>
              <w:t>Prescription required; physician authority</w:t>
            </w:r>
          </w:p>
        </w:tc>
        <w:tc>
          <w:tcPr>
            <w:tcW w:type="dxa" w:w="3024"/>
          </w:tcPr>
          <w:p>
            <w:r>
              <w:rPr>
                <w:rFonts w:ascii="Calibri" w:hAnsi="Calibri"/>
              </w:rPr>
              <w:t>Standard prescribing rights; document clinical indication thoroughly</w:t>
            </w:r>
          </w:p>
        </w:tc>
      </w:tr>
      <w:tr>
        <w:tc>
          <w:tcPr>
            <w:tcW w:type="dxa" w:w="3024"/>
          </w:tcPr>
          <w:p>
            <w:r>
              <w:rPr>
                <w:rFonts w:ascii="Calibri" w:hAnsi="Calibri"/>
              </w:rPr>
              <w:t>Peptide Therapies (BPC-157 etc.)</w:t>
            </w:r>
          </w:p>
        </w:tc>
        <w:tc>
          <w:tcPr>
            <w:tcW w:type="dxa" w:w="3024"/>
          </w:tcPr>
          <w:p>
            <w:r>
              <w:rPr>
                <w:rFonts w:ascii="Calibri" w:hAnsi="Calibri"/>
              </w:rPr>
              <w:t>Regulatory status unclear in Norway — grey area</w:t>
            </w:r>
          </w:p>
        </w:tc>
        <w:tc>
          <w:tcPr>
            <w:tcW w:type="dxa" w:w="3024"/>
          </w:tcPr>
          <w:p>
            <w:r>
              <w:rPr>
                <w:rFonts w:ascii="Calibri" w:hAnsi="Calibri"/>
              </w:rPr>
              <w:t>Legal review required; prescribe with caution; document clinical rationale</w:t>
            </w:r>
          </w:p>
        </w:tc>
      </w:tr>
      <w:tr>
        <w:tc>
          <w:tcPr>
            <w:tcW w:type="dxa" w:w="3024"/>
          </w:tcPr>
          <w:p>
            <w:r>
              <w:rPr>
                <w:rFonts w:ascii="Calibri" w:hAnsi="Calibri"/>
              </w:rPr>
              <w:t>NAD+ IV Infusions</w:t>
            </w:r>
          </w:p>
        </w:tc>
        <w:tc>
          <w:tcPr>
            <w:tcW w:type="dxa" w:w="3024"/>
          </w:tcPr>
          <w:p>
            <w:r>
              <w:rPr>
                <w:rFonts w:ascii="Calibri" w:hAnsi="Calibri"/>
              </w:rPr>
              <w:t>Legal as physician-administered IV</w:t>
            </w:r>
          </w:p>
        </w:tc>
        <w:tc>
          <w:tcPr>
            <w:tcW w:type="dxa" w:w="3024"/>
          </w:tcPr>
          <w:p>
            <w:r>
              <w:rPr>
                <w:rFonts w:ascii="Calibri" w:hAnsi="Calibri"/>
              </w:rPr>
              <w:t>Source pharmaceutical-grade NAD+ from licensed supplier</w:t>
            </w:r>
          </w:p>
        </w:tc>
      </w:tr>
      <w:tr>
        <w:tc>
          <w:tcPr>
            <w:tcW w:type="dxa" w:w="3024"/>
          </w:tcPr>
          <w:p>
            <w:r>
              <w:rPr>
                <w:rFonts w:ascii="Calibri" w:hAnsi="Calibri"/>
              </w:rPr>
              <w:t>Medical-grade skincare (retinoids)</w:t>
            </w:r>
          </w:p>
        </w:tc>
        <w:tc>
          <w:tcPr>
            <w:tcW w:type="dxa" w:w="3024"/>
          </w:tcPr>
          <w:p>
            <w:r>
              <w:rPr>
                <w:rFonts w:ascii="Calibri" w:hAnsi="Calibri"/>
              </w:rPr>
              <w:t>Prescription strength requires physician</w:t>
            </w:r>
          </w:p>
        </w:tc>
        <w:tc>
          <w:tcPr>
            <w:tcW w:type="dxa" w:w="3024"/>
          </w:tcPr>
          <w:p>
            <w:r>
              <w:rPr>
                <w:rFonts w:ascii="Calibri" w:hAnsi="Calibri"/>
              </w:rPr>
              <w:t>Standard prescribing; document clinical indication</w:t>
            </w:r>
          </w:p>
        </w:tc>
      </w:tr>
      <w:tr>
        <w:tc>
          <w:tcPr>
            <w:tcW w:type="dxa" w:w="3024"/>
          </w:tcPr>
          <w:p>
            <w:r>
              <w:rPr>
                <w:rFonts w:ascii="Calibri" w:hAnsi="Calibri"/>
              </w:rPr>
              <w:t>CGM Prescribing</w:t>
            </w:r>
          </w:p>
        </w:tc>
        <w:tc>
          <w:tcPr>
            <w:tcW w:type="dxa" w:w="3024"/>
          </w:tcPr>
          <w:p>
            <w:r>
              <w:rPr>
                <w:rFonts w:ascii="Calibri" w:hAnsi="Calibri"/>
              </w:rPr>
              <w:t>Prescription in Norway for non-diabetic use</w:t>
            </w:r>
          </w:p>
        </w:tc>
        <w:tc>
          <w:tcPr>
            <w:tcW w:type="dxa" w:w="3024"/>
          </w:tcPr>
          <w:p>
            <w:r>
              <w:rPr>
                <w:rFonts w:ascii="Calibri" w:hAnsi="Calibri"/>
              </w:rPr>
              <w:t>Off-label; document clinical rationale; patient consent</w:t>
            </w:r>
          </w:p>
        </w:tc>
      </w:tr>
    </w:tbl>
    <w:p/>
    <w:p>
      <w:r>
        <w:rPr>
          <w:rFonts w:ascii="Calibri" w:hAnsi="Calibri"/>
          <w:b w:val="0"/>
          <w:i/>
          <w:sz w:val="21"/>
        </w:rPr>
        <w:t>Key insight: Being a physician is the licence that makes all of this possible. The 2021 Norwegian law restricting aesthetic injectables to licensed healthcare personnel effectively eliminated non-physician aesthetic providers from the premium market. This is a competitive advantage, not a barrier.</w:t>
      </w:r>
    </w:p>
    <w:p>
      <w:r>
        <w:br w:type="page"/>
      </w:r>
    </w:p>
    <w:p/>
    <w:p/>
    <w:p/>
    <w:p/>
    <w:p>
      <w:pPr>
        <w:jc w:val="center"/>
      </w:pPr>
      <w:r>
        <w:rPr>
          <w:rFonts w:ascii="Calibri" w:hAnsi="Calibri"/>
          <w:b w:val="0"/>
          <w:i/>
          <w:color w:val="1A2E4A"/>
          <w:sz w:val="32"/>
        </w:rPr>
        <w:t>The product does not exist in Norway.</w:t>
      </w:r>
    </w:p>
    <w:p>
      <w:pPr>
        <w:jc w:val="center"/>
      </w:pPr>
      <w:r>
        <w:t>Medical Concierge is an established global category. Oslo is ready for its first dedicated practice.</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