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40"/>
        <w:jc w:val="left"/>
      </w:pPr>
      <w:r>
        <w:rPr>
          <w:rFonts w:ascii="Calibri" w:hAnsi="Calibri" w:eastAsia="等线"/>
          <w:b/>
          <w:color w:val="1F4D78"/>
          <w:sz w:val="48"/>
        </w:rPr>
        <w:t>AI 助手用户留存改善机会</w:t>
      </w:r>
    </w:p>
    <w:p>
      <w:pPr>
        <w:spacing w:after="360"/>
      </w:pPr>
      <w:r>
        <w:rPr>
          <w:rFonts w:ascii="Calibri" w:hAnsi="Calibri" w:eastAsia="等线"/>
          <w:color w:val="666666"/>
          <w:sz w:val="19"/>
        </w:rPr>
        <w:t>deep_dive | strategy_lead | 版本 1.0</w:t>
      </w:r>
    </w:p>
    <w:p>
      <w:pPr>
        <w:pStyle w:val="Heading1"/>
      </w:pPr>
      <w:r>
        <w:t>执行摘要</w:t>
      </w:r>
    </w:p>
    <w:p>
      <w:r>
        <w:rPr>
          <w:rFonts w:ascii="Calibri" w:hAnsi="Calibri" w:eastAsia="等线"/>
          <w:color w:val="253746"/>
        </w:rPr>
        <w:t>当前新用户首周回访不足，需要在价值闭环与提醒触达之间确定优先验证顺序。</w:t>
      </w:r>
    </w:p>
    <w:tbl>
      <w:tblPr>
        <w:tblLook w:firstColumn="1" w:firstRow="1" w:lastColumn="0" w:lastRow="0" w:noHBand="0" w:noVBand="1" w:val="04A0"/>
        <w:tblW w:w="9360" w:type="dxa"/>
        <w:tblInd w:w="120" w:type="dxa"/>
        <w:tblLayout w:type="fixed"/>
      </w:tblPr>
      <w:tblGrid>
        <w:gridCol w:w="9360"/>
      </w:tblGrid>
      <w:tr>
        <w:tc>
          <w:tcPr>
            <w:tcW w:type="dxa" w:w="9360"/>
            <w:shd w:val="clear" w:color="auto" w:fill="F4F6F9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ReportCallout"/>
            </w:pPr>
            <w:r>
              <w:rPr>
                <w:rFonts w:ascii="Calibri" w:hAnsi="Calibri" w:eastAsia="等线"/>
                <w:b/>
                <w:color w:val="1F4D78"/>
              </w:rPr>
              <w:t>核心答案：</w:t>
            </w:r>
            <w:r>
              <w:rPr>
                <w:rFonts w:ascii="Calibri" w:hAnsi="Calibri" w:eastAsia="等线"/>
                <w:color w:val="253746"/>
              </w:rPr>
              <w:t>现有证据更支持优先验证成果形成与复用闭环，但应通过实验排除用户原始意愿造成的自选择。</w:t>
            </w:r>
          </w:p>
        </w:tc>
      </w:tr>
    </w:tbl>
    <w:p>
      <w:pPr>
        <w:spacing w:after="0"/>
      </w:pPr>
    </w:p>
    <w:p>
      <w:pPr>
        <w:pStyle w:val="Heading2"/>
      </w:pPr>
      <w:r>
        <w:t>关键发现</w:t>
      </w:r>
    </w:p>
    <w:p>
      <w:pPr>
        <w:pStyle w:val="ListBullet"/>
      </w:pPr>
      <w:r>
        <w:rPr>
          <w:rFonts w:ascii="Calibri" w:hAnsi="Calibri" w:eastAsia="等线"/>
          <w:color w:val="253746"/>
        </w:rPr>
        <w:t>成果保存组的第 7 日回访率在冻结样本中高于单轮问答组。</w:t>
      </w:r>
    </w:p>
    <w:p>
      <w:pPr>
        <w:pStyle w:val="ListBullet"/>
      </w:pPr>
      <w:r>
        <w:rPr>
          <w:rFonts w:ascii="Calibri" w:hAnsi="Calibri" w:eastAsia="等线"/>
          <w:color w:val="253746"/>
        </w:rPr>
        <w:t>访谈提示可复用成果可能构成回访理由，但不能外推比例。</w:t>
      </w:r>
    </w:p>
    <w:p>
      <w:pPr>
        <w:pStyle w:val="Heading2"/>
      </w:pPr>
      <w:r>
        <w:t>业务含义</w:t>
      </w:r>
    </w:p>
    <w:p>
      <w:pPr>
        <w:pStyle w:val="ListBullet"/>
      </w:pPr>
      <w:r>
        <w:rPr>
          <w:rFonts w:ascii="Calibri" w:hAnsi="Calibri" w:eastAsia="等线"/>
          <w:color w:val="253746"/>
        </w:rPr>
        <w:t>首个实验应围绕成果保存后的复用路径。</w:t>
      </w:r>
    </w:p>
    <w:p>
      <w:pPr>
        <w:pStyle w:val="ListBullet"/>
      </w:pPr>
      <w:r>
        <w:rPr>
          <w:rFonts w:ascii="Calibri" w:hAnsi="Calibri" w:eastAsia="等线"/>
          <w:color w:val="253746"/>
        </w:rPr>
        <w:t>实验必须控制初始意愿并设置提醒对照。</w:t>
      </w:r>
    </w:p>
    <w:tbl>
      <w:tblPr>
        <w:tblLook w:firstColumn="1" w:firstRow="1" w:lastColumn="0" w:lastRow="0" w:noHBand="0" w:noVBand="1" w:val="04A0"/>
        <w:tblW w:w="9360" w:type="dxa"/>
        <w:tblInd w:w="120" w:type="dxa"/>
        <w:tblLayout w:type="fixed"/>
      </w:tblPr>
      <w:tblGrid>
        <w:gridCol w:w="9360"/>
      </w:tblGrid>
      <w:tr>
        <w:tc>
          <w:tcPr>
            <w:tcW w:type="dxa" w:w="9360"/>
            <w:shd w:val="clear" w:color="auto" w:fill="F4F6F9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ReportCallout"/>
            </w:pPr>
            <w:r>
              <w:rPr>
                <w:rFonts w:ascii="Calibri" w:hAnsi="Calibri" w:eastAsia="等线"/>
                <w:b/>
                <w:color w:val="1F4D78"/>
              </w:rPr>
              <w:t>需要确认：</w:t>
            </w:r>
            <w:r>
              <w:rPr>
                <w:rFonts w:ascii="Calibri" w:hAnsi="Calibri" w:eastAsia="等线"/>
                <w:color w:val="253746"/>
              </w:rPr>
              <w:t>确认两周价值闭环实验与补数计划。</w:t>
            </w:r>
          </w:p>
        </w:tc>
      </w:tr>
    </w:tbl>
    <w:p>
      <w:pPr>
        <w:spacing w:after="0"/>
      </w:pPr>
    </w:p>
    <w:p>
      <w:pPr>
        <w:pStyle w:val="Heading1"/>
      </w:pPr>
      <w:r>
        <w:t>1. 成果保存与回访共同出现，但因果仍待验证</w:t>
      </w:r>
    </w:p>
    <w:tbl>
      <w:tblPr>
        <w:tblLook w:firstColumn="1" w:firstRow="1" w:lastColumn="0" w:lastRow="0" w:noHBand="0" w:noVBand="1" w:val="04A0"/>
        <w:tblW w:w="9360" w:type="dxa"/>
        <w:tblInd w:w="120" w:type="dxa"/>
        <w:tblLayout w:type="fixed"/>
      </w:tblPr>
      <w:tblGrid>
        <w:gridCol w:w="9360"/>
      </w:tblGrid>
      <w:tr>
        <w:tc>
          <w:tcPr>
            <w:tcW w:type="dxa" w:w="9360"/>
            <w:shd w:val="clear" w:color="auto" w:fill="F4F6F9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ReportCallout"/>
            </w:pPr>
            <w:r>
              <w:rPr>
                <w:rFonts w:ascii="Calibri" w:hAnsi="Calibri" w:eastAsia="等线"/>
                <w:b/>
                <w:color w:val="1F4D78"/>
              </w:rPr>
              <w:t>本节判断：</w:t>
            </w:r>
            <w:r>
              <w:rPr>
                <w:rFonts w:ascii="Calibri" w:hAnsi="Calibri" w:eastAsia="等线"/>
                <w:color w:val="253746"/>
              </w:rPr>
              <w:t>冻结样本存在明显组间差异，但自选择使其只能作为优先级信号。</w:t>
            </w:r>
          </w:p>
        </w:tc>
      </w:tr>
    </w:tbl>
    <w:p>
      <w:pPr>
        <w:spacing w:after="0"/>
      </w:pPr>
    </w:p>
    <w:p>
      <w:r>
        <w:rPr>
          <w:rFonts w:ascii="Calibri" w:hAnsi="Calibri" w:eastAsia="等线"/>
          <w:color w:val="253746"/>
        </w:rPr>
        <w:t>在统一的第 7 日回访口径下，完成成果保存的新用户回访率为 34%，只完成单轮问答的新用户为 18%。这 16 个百分点的差异说明成果保存与回访共同出现，但由于分组并非随机，不能直接解释为保存功能带来的因果提升。</w:t>
      </w:r>
    </w:p>
    <w:p>
      <w:pPr>
        <w:pStyle w:val="ReportCitation"/>
      </w:pPr>
      <w:r>
        <w:rPr>
          <w:rFonts w:ascii="Calibri" w:hAnsi="Calibri" w:eastAsia="等线"/>
          <w:i/>
          <w:color w:val="666666"/>
          <w:sz w:val="16"/>
        </w:rPr>
        <w:t>证据 E-Q-01、E-Q-02；来源 [SRC-01]</w:t>
      </w:r>
    </w:p>
    <w:tbl>
      <w:tblPr>
        <w:tblLook w:firstColumn="1" w:firstRow="1" w:lastColumn="0" w:lastRow="0" w:noHBand="0" w:noVBand="1" w:val="04A0"/>
        <w:tblW w:w="9360" w:type="dxa"/>
        <w:tblInd w:w="120" w:type="dxa"/>
        <w:tblLayout w:type="fixed"/>
      </w:tblPr>
      <w:tblGrid>
        <w:gridCol w:w="9360"/>
      </w:tblGrid>
      <w:tr>
        <w:tc>
          <w:tcPr>
            <w:tcW w:type="dxa" w:w="9360"/>
            <w:shd w:val="clear" w:color="auto" w:fill="FFF4CE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ReportNote"/>
            </w:pPr>
            <w:r>
              <w:rPr>
                <w:rFonts w:ascii="Calibri" w:hAnsi="Calibri" w:eastAsia="等线"/>
                <w:b/>
                <w:color w:val="7A5A00"/>
              </w:rPr>
              <w:t>边界：</w:t>
            </w:r>
            <w:r>
              <w:rPr>
                <w:rFonts w:ascii="Calibri" w:hAnsi="Calibri" w:eastAsia="等线"/>
                <w:color w:val="253746"/>
              </w:rPr>
              <w:t>高意愿用户可能同时更愿意保存成果，因此实验需控制初始意愿。</w:t>
            </w:r>
          </w:p>
        </w:tc>
      </w:tr>
    </w:tbl>
    <w:p>
      <w:pPr>
        <w:spacing w:after="0"/>
      </w:pPr>
    </w:p>
    <w:p>
      <w:pPr>
        <w:pStyle w:val="ReportCitation"/>
      </w:pPr>
      <w:r>
        <w:rPr>
          <w:rFonts w:ascii="Calibri" w:hAnsi="Calibri" w:eastAsia="等线"/>
          <w:i/>
          <w:color w:val="666666"/>
          <w:sz w:val="16"/>
        </w:rPr>
        <w:t>证据 E-Q-02；来源 [SRC-01]</w:t>
      </w:r>
    </w:p>
    <w:p>
      <w:pPr>
        <w:spacing w:before="160" w:after="80"/>
      </w:pPr>
      <w:r>
        <w:rPr>
          <w:rFonts w:ascii="Calibri" w:hAnsi="Calibri" w:eastAsia="等线"/>
          <w:b/>
          <w:color w:val="1F4D78"/>
          <w:sz w:val="20"/>
        </w:rPr>
        <w:t>不同行为组第 7 日回访率</w:t>
      </w:r>
    </w:p>
    <w:tbl>
      <w:tblPr>
        <w:tblStyle w:val="TableGrid"/>
        <w:tblLook w:firstColumn="1" w:firstRow="1" w:lastColumn="0" w:lastRow="0" w:noHBand="0" w:noVBand="1" w:val="04A0"/>
        <w:tblW w:w="9360" w:type="dxa"/>
        <w:tblInd w:w="120" w:type="dxa"/>
        <w:tblLayout w:type="fixed"/>
      </w:tblPr>
      <w:tblGrid>
        <w:gridCol w:w="4183"/>
        <w:gridCol w:w="5177"/>
      </w:tblGrid>
      <w:tr>
        <w:tc>
          <w:tcPr>
            <w:tcW w:type="dxa" w:w="4183"/>
            <w:vAlign w:val="center"/>
            <w:shd w:val="clear" w:color="auto" w:fill="F2F4F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等线"/>
                <w:b/>
                <w:color w:val="1F4D78"/>
                <w:sz w:val="19"/>
              </w:rPr>
              <w:t>行为组</w:t>
            </w:r>
          </w:p>
        </w:tc>
        <w:tc>
          <w:tcPr>
            <w:tcW w:type="dxa" w:w="5177"/>
            <w:vAlign w:val="center"/>
            <w:shd w:val="clear" w:color="auto" w:fill="F2F4F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等线"/>
                <w:b/>
                <w:color w:val="1F4D78"/>
                <w:sz w:val="19"/>
              </w:rPr>
              <w:t>第 7 日回访率</w:t>
            </w:r>
          </w:p>
        </w:tc>
      </w:tr>
      <w:tr>
        <w:tc>
          <w:tcPr>
            <w:tcW w:type="dxa" w:w="418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等线"/>
                <w:color w:val="253746"/>
                <w:sz w:val="19"/>
              </w:rPr>
              <w:t>保存成果</w:t>
            </w:r>
          </w:p>
        </w:tc>
        <w:tc>
          <w:tcPr>
            <w:tcW w:type="dxa" w:w="517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Calibri" w:hAnsi="Calibri" w:eastAsia="等线"/>
                <w:color w:val="253746"/>
                <w:sz w:val="19"/>
              </w:rPr>
              <w:t>34%</w:t>
            </w:r>
          </w:p>
        </w:tc>
      </w:tr>
      <w:tr>
        <w:tc>
          <w:tcPr>
            <w:tcW w:type="dxa" w:w="418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等线"/>
                <w:color w:val="253746"/>
                <w:sz w:val="19"/>
              </w:rPr>
              <w:t>仅单轮问答</w:t>
            </w:r>
          </w:p>
        </w:tc>
        <w:tc>
          <w:tcPr>
            <w:tcW w:type="dxa" w:w="517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Calibri" w:hAnsi="Calibri" w:eastAsia="等线"/>
                <w:color w:val="253746"/>
                <w:sz w:val="19"/>
              </w:rPr>
              <w:t>18%</w:t>
            </w:r>
          </w:p>
        </w:tc>
      </w:tr>
    </w:tbl>
    <w:p>
      <w:pPr>
        <w:pStyle w:val="ReportCitation"/>
      </w:pPr>
      <w:r>
        <w:rPr>
          <w:rFonts w:ascii="Calibri" w:hAnsi="Calibri" w:eastAsia="等线"/>
          <w:i/>
          <w:color w:val="666666"/>
          <w:sz w:val="16"/>
        </w:rPr>
        <w:t>来源：[SRC-01] 注：冻结匿名样本；非随机分组。</w:t>
      </w:r>
    </w:p>
    <w:tbl>
      <w:tblPr>
        <w:tblLook w:firstColumn="1" w:firstRow="1" w:lastColumn="0" w:lastRow="0" w:noHBand="0" w:noVBand="1" w:val="04A0"/>
        <w:tblW w:w="9360" w:type="dxa"/>
        <w:tblInd w:w="120" w:type="dxa"/>
        <w:tblLayout w:type="fixed"/>
      </w:tblPr>
      <w:tblGrid>
        <w:gridCol w:w="9360"/>
      </w:tblGrid>
      <w:tr>
        <w:tc>
          <w:tcPr>
            <w:tcW w:type="dxa" w:w="9360"/>
            <w:shd w:val="clear" w:color="auto" w:fill="F4F6F9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ReportCallout"/>
            </w:pPr>
            <w:r>
              <w:rPr>
                <w:rFonts w:ascii="Calibri" w:hAnsi="Calibri" w:eastAsia="等线"/>
                <w:b/>
                <w:color w:val="1F4D78"/>
              </w:rPr>
              <w:t>图表规格：</w:t>
            </w:r>
            <w:r>
              <w:rPr>
                <w:rFonts w:ascii="Calibri" w:hAnsi="Calibri" w:eastAsia="等线"/>
                <w:color w:val="253746"/>
              </w:rPr>
              <w:t>成果保存组的第 7 日回访率更高。行为差异值得优先验证，但不等于因果。</w:t>
            </w:r>
          </w:p>
        </w:tc>
      </w:tr>
    </w:tbl>
    <w:p>
      <w:pPr>
        <w:spacing w:after="0"/>
      </w:pPr>
    </w:p>
    <w:p>
      <w:pPr>
        <w:pStyle w:val="ReportCitation"/>
      </w:pPr>
      <w:r>
        <w:rPr>
          <w:rFonts w:ascii="Calibri" w:hAnsi="Calibri" w:eastAsia="等线"/>
          <w:color w:val="666666"/>
          <w:sz w:val="16"/>
        </w:rPr>
        <w:t>数据：{"categories": ["保存成果", "仅单轮问答"], "values": [34, 18], "unit": "%"}</w:t>
      </w:r>
    </w:p>
    <w:p>
      <w:pPr>
        <w:pStyle w:val="ReportCitation"/>
      </w:pPr>
      <w:r>
        <w:rPr>
          <w:rFonts w:ascii="Calibri" w:hAnsi="Calibri" w:eastAsia="等线"/>
          <w:i/>
          <w:color w:val="666666"/>
          <w:sz w:val="16"/>
        </w:rPr>
        <w:t>证据 非随机分组；来源 [SRC-01]</w:t>
      </w:r>
    </w:p>
    <w:tbl>
      <w:tblPr>
        <w:tblLook w:firstColumn="1" w:firstRow="1" w:lastColumn="0" w:lastRow="0" w:noHBand="0" w:noVBand="1" w:val="04A0"/>
        <w:tblW w:w="9360" w:type="dxa"/>
        <w:tblInd w:w="120" w:type="dxa"/>
        <w:tblLayout w:type="fixed"/>
      </w:tblPr>
      <w:tblGrid>
        <w:gridCol w:w="9360"/>
      </w:tblGrid>
      <w:tr>
        <w:tc>
          <w:tcPr>
            <w:tcW w:type="dxa" w:w="9360"/>
            <w:shd w:val="clear" w:color="auto" w:fill="F4F6F9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ReportCallout"/>
            </w:pPr>
            <w:r>
              <w:rPr>
                <w:rFonts w:ascii="Calibri" w:hAnsi="Calibri" w:eastAsia="等线"/>
                <w:b/>
                <w:color w:val="1F4D78"/>
              </w:rPr>
              <w:t>本节结论：</w:t>
            </w:r>
            <w:r>
              <w:rPr>
                <w:rFonts w:ascii="Calibri" w:hAnsi="Calibri" w:eastAsia="等线"/>
                <w:color w:val="253746"/>
              </w:rPr>
              <w:t>成果保存是更强的优先级信号，但需要机制证据和随机实验。</w:t>
            </w:r>
          </w:p>
        </w:tc>
      </w:tr>
    </w:tbl>
    <w:p>
      <w:pPr>
        <w:spacing w:after="0"/>
      </w:pPr>
    </w:p>
    <w:p>
      <w:pPr>
        <w:pStyle w:val="ReportCitation"/>
      </w:pPr>
      <w:r>
        <w:rPr>
          <w:rFonts w:ascii="Calibri" w:hAnsi="Calibri" w:eastAsia="等线"/>
          <w:i/>
          <w:color w:val="666666"/>
          <w:sz w:val="17"/>
        </w:rPr>
        <w:t>承接：下一节用访谈界定可能机制，并把判断转化为可证伪实验。</w:t>
      </w:r>
    </w:p>
    <w:p>
      <w:pPr>
        <w:pStyle w:val="Heading1"/>
      </w:pPr>
      <w:r>
        <w:t>2. 可复用成果提供了值得优先验证的回访理由</w:t>
      </w:r>
    </w:p>
    <w:tbl>
      <w:tblPr>
        <w:tblLook w:firstColumn="1" w:firstRow="1" w:lastColumn="0" w:lastRow="0" w:noHBand="0" w:noVBand="1" w:val="04A0"/>
        <w:tblW w:w="9360" w:type="dxa"/>
        <w:tblInd w:w="120" w:type="dxa"/>
        <w:tblLayout w:type="fixed"/>
      </w:tblPr>
      <w:tblGrid>
        <w:gridCol w:w="9360"/>
      </w:tblGrid>
      <w:tr>
        <w:tc>
          <w:tcPr>
            <w:tcW w:type="dxa" w:w="9360"/>
            <w:shd w:val="clear" w:color="auto" w:fill="F4F6F9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ReportCallout"/>
            </w:pPr>
            <w:r>
              <w:rPr>
                <w:rFonts w:ascii="Calibri" w:hAnsi="Calibri" w:eastAsia="等线"/>
                <w:b/>
                <w:color w:val="1F4D78"/>
              </w:rPr>
              <w:t>本节判断：</w:t>
            </w:r>
            <w:r>
              <w:rPr>
                <w:rFonts w:ascii="Calibri" w:hAnsi="Calibri" w:eastAsia="等线"/>
                <w:color w:val="253746"/>
              </w:rPr>
              <w:t>访谈提示成果复用形成持续价值，但需随机实验与补样验证。</w:t>
            </w:r>
          </w:p>
        </w:tc>
      </w:tr>
    </w:tbl>
    <w:p>
      <w:pPr>
        <w:spacing w:after="0"/>
      </w:pPr>
    </w:p>
    <w:p>
      <w:r>
        <w:rPr>
          <w:rFonts w:ascii="Calibri" w:hAnsi="Calibri" w:eastAsia="等线"/>
          <w:color w:val="253746"/>
        </w:rPr>
        <w:t>两位留存用户把历史成果视为后续任务的起点，一位流失用户则把产品理解为一次性问答工具。这组材料不能代表总体用户，却为行为差异提供了可验证的机制：用户只有在形成可继续使用的成果后，才拥有明确的回访理由。</w:t>
      </w:r>
    </w:p>
    <w:p>
      <w:pPr>
        <w:pStyle w:val="ReportCitation"/>
      </w:pPr>
      <w:r>
        <w:rPr>
          <w:rFonts w:ascii="Calibri" w:hAnsi="Calibri" w:eastAsia="等线"/>
          <w:i/>
          <w:color w:val="666666"/>
          <w:sz w:val="16"/>
        </w:rPr>
        <w:t>证据 E-I-01；来源 [SRC-02]</w:t>
      </w:r>
    </w:p>
    <w:tbl>
      <w:tblPr>
        <w:tblLook w:firstColumn="1" w:firstRow="1" w:lastColumn="0" w:lastRow="0" w:noHBand="0" w:noVBand="1" w:val="04A0"/>
        <w:tblW w:w="9360" w:type="dxa"/>
        <w:tblInd w:w="120" w:type="dxa"/>
        <w:tblLayout w:type="fixed"/>
      </w:tblPr>
      <w:tblGrid>
        <w:gridCol w:w="9360"/>
      </w:tblGrid>
      <w:tr>
        <w:tc>
          <w:tcPr>
            <w:tcW w:type="dxa" w:w="9360"/>
            <w:shd w:val="clear" w:color="auto" w:fill="F4F6F9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ReportCallout"/>
            </w:pPr>
            <w:r>
              <w:rPr>
                <w:rFonts w:ascii="Calibri" w:hAnsi="Calibri" w:eastAsia="等线"/>
                <w:b/>
                <w:color w:val="1F4D78"/>
              </w:rPr>
              <w:t>关键判断：</w:t>
            </w:r>
            <w:r>
              <w:rPr>
                <w:rFonts w:ascii="Calibri" w:hAnsi="Calibri" w:eastAsia="等线"/>
                <w:color w:val="253746"/>
              </w:rPr>
              <w:t>建议以成果保存与复用路径为主实验，以提醒触达为对照因素。</w:t>
            </w:r>
          </w:p>
        </w:tc>
      </w:tr>
    </w:tbl>
    <w:p>
      <w:pPr>
        <w:spacing w:after="0"/>
      </w:pPr>
    </w:p>
    <w:p>
      <w:pPr>
        <w:pStyle w:val="ReportCitation"/>
      </w:pPr>
      <w:r>
        <w:rPr>
          <w:rFonts w:ascii="Calibri" w:hAnsi="Calibri" w:eastAsia="等线"/>
          <w:i/>
          <w:color w:val="666666"/>
          <w:sz w:val="16"/>
        </w:rPr>
        <w:t>证据 E-Q-01、E-I-01；来源 [SRC-01]、[SRC-02]</w:t>
      </w:r>
    </w:p>
    <w:tbl>
      <w:tblPr>
        <w:tblLook w:firstColumn="1" w:firstRow="1" w:lastColumn="0" w:lastRow="0" w:noHBand="0" w:noVBand="1" w:val="04A0"/>
        <w:tblW w:w="9360" w:type="dxa"/>
        <w:tblInd w:w="120" w:type="dxa"/>
        <w:tblLayout w:type="fixed"/>
      </w:tblPr>
      <w:tblGrid>
        <w:gridCol w:w="9360"/>
      </w:tblGrid>
      <w:tr>
        <w:tc>
          <w:tcPr>
            <w:tcW w:type="dxa" w:w="9360"/>
            <w:shd w:val="clear" w:color="auto" w:fill="F4F6F9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ReportCallout"/>
            </w:pPr>
            <w:r>
              <w:rPr>
                <w:rFonts w:ascii="Calibri" w:hAnsi="Calibri" w:eastAsia="等线"/>
                <w:b/>
                <w:color w:val="1F4D78"/>
              </w:rPr>
              <w:t>本节结论：</w:t>
            </w:r>
            <w:r>
              <w:rPr>
                <w:rFonts w:ascii="Calibri" w:hAnsi="Calibri" w:eastAsia="等线"/>
                <w:color w:val="253746"/>
              </w:rPr>
              <w:t>价值闭环是当前更值得优先验证的机制，而非已被证明的答案。</w:t>
            </w:r>
          </w:p>
        </w:tc>
      </w:tr>
    </w:tbl>
    <w:p>
      <w:pPr>
        <w:spacing w:after="0"/>
      </w:pPr>
    </w:p>
    <w:p>
      <w:pPr>
        <w:pStyle w:val="ReportCitation"/>
      </w:pPr>
      <w:r>
        <w:rPr>
          <w:rFonts w:ascii="Calibri" w:hAnsi="Calibri" w:eastAsia="等线"/>
          <w:i/>
          <w:color w:val="666666"/>
          <w:sz w:val="17"/>
        </w:rPr>
        <w:t>承接：据此进入实验选择、指标与补数要求。</w:t>
      </w:r>
    </w:p>
    <w:p>
      <w:pPr>
        <w:pStyle w:val="Heading1"/>
      </w:pPr>
      <w:r>
        <w:t>方法与边界</w:t>
      </w:r>
    </w:p>
    <w:p>
      <w:r>
        <w:rPr>
          <w:rFonts w:ascii="Calibri" w:hAnsi="Calibri" w:eastAsia="等线"/>
          <w:b/>
          <w:color w:val="1F4D78"/>
        </w:rPr>
        <w:t>分析方法：</w:t>
      </w:r>
      <w:r>
        <w:rPr>
          <w:rFonts w:ascii="Calibri" w:hAnsi="Calibri" w:eastAsia="等线"/>
          <w:color w:val="253746"/>
        </w:rPr>
        <w:t>行为组间描述性比较与访谈机制三角验证。</w:t>
      </w:r>
    </w:p>
    <w:p>
      <w:r>
        <w:rPr>
          <w:rFonts w:ascii="Calibri" w:hAnsi="Calibri" w:eastAsia="等线"/>
          <w:b/>
          <w:color w:val="1F4D78"/>
        </w:rPr>
        <w:t>分析范围：</w:t>
      </w:r>
      <w:r>
        <w:rPr>
          <w:rFonts w:ascii="Calibri" w:hAnsi="Calibri" w:eastAsia="等线"/>
          <w:color w:val="253746"/>
        </w:rPr>
        <w:t>新用户首 7 日与第 7 日回访。</w:t>
      </w:r>
    </w:p>
    <w:p>
      <w:pPr>
        <w:pStyle w:val="Heading2"/>
      </w:pPr>
      <w:r>
        <w:t>关键定义</w:t>
      </w:r>
    </w:p>
    <w:p>
      <w:pPr>
        <w:pStyle w:val="ListBullet"/>
      </w:pPr>
      <w:r>
        <w:rPr>
          <w:rFonts w:ascii="Calibri" w:hAnsi="Calibri" w:eastAsia="等线"/>
          <w:color w:val="253746"/>
        </w:rPr>
        <w:t>第 7 日回访：注册后第 7 个自然日内产生有效会话。</w:t>
      </w:r>
    </w:p>
    <w:p>
      <w:pPr>
        <w:pStyle w:val="Heading2"/>
      </w:pPr>
      <w:r>
        <w:t>方法限制</w:t>
      </w:r>
    </w:p>
    <w:p>
      <w:pPr>
        <w:pStyle w:val="ListBullet"/>
      </w:pPr>
      <w:r>
        <w:rPr>
          <w:rFonts w:ascii="Calibri" w:hAnsi="Calibri" w:eastAsia="等线"/>
          <w:color w:val="253746"/>
        </w:rPr>
        <w:t>行为组并非随机</w:t>
      </w:r>
    </w:p>
    <w:p>
      <w:pPr>
        <w:pStyle w:val="ListBullet"/>
      </w:pPr>
      <w:r>
        <w:rPr>
          <w:rFonts w:ascii="Calibri" w:hAnsi="Calibri" w:eastAsia="等线"/>
          <w:color w:val="253746"/>
        </w:rPr>
        <w:t>访谈样本量小</w:t>
      </w:r>
    </w:p>
    <w:p>
      <w:pPr>
        <w:pStyle w:val="Heading2"/>
      </w:pPr>
      <w:r>
        <w:t>关键假设</w:t>
      </w:r>
    </w:p>
    <w:p>
      <w:pPr>
        <w:pStyle w:val="ListBullet"/>
      </w:pPr>
      <w:r>
        <w:rPr>
          <w:rFonts w:ascii="Calibri" w:hAnsi="Calibri" w:eastAsia="等线"/>
          <w:color w:val="253746"/>
        </w:rPr>
        <w:t>各来源使用相同回访口径。</w:t>
      </w:r>
    </w:p>
    <w:p>
      <w:pPr>
        <w:pStyle w:val="Heading2"/>
      </w:pPr>
      <w:r>
        <w:t>数据缺口</w:t>
      </w:r>
    </w:p>
    <w:p>
      <w:pPr>
        <w:pStyle w:val="ListBullet"/>
      </w:pPr>
      <w:r>
        <w:rPr>
          <w:rFonts w:ascii="Calibri" w:hAnsi="Calibri" w:eastAsia="等线"/>
          <w:color w:val="253746"/>
        </w:rPr>
        <w:t>缺少控制初始意愿后的实验结果。</w:t>
      </w:r>
    </w:p>
    <w:p>
      <w:pPr>
        <w:pStyle w:val="Heading1"/>
      </w:pPr>
      <w:r>
        <w:t>风险与反方观点</w:t>
      </w:r>
    </w:p>
    <w:p>
      <w:pPr>
        <w:spacing w:before="160" w:after="80"/>
      </w:pPr>
      <w:r>
        <w:rPr>
          <w:rFonts w:ascii="Calibri" w:hAnsi="Calibri" w:eastAsia="等线"/>
          <w:b/>
          <w:color w:val="1F4D78"/>
          <w:sz w:val="20"/>
        </w:rPr>
        <w:t>反方观点与残余不确定性</w:t>
      </w:r>
    </w:p>
    <w:tbl>
      <w:tblPr>
        <w:tblStyle w:val="TableGrid"/>
        <w:tblLook w:firstColumn="1" w:firstRow="1" w:lastColumn="0" w:lastRow="0" w:noHBand="0" w:noVBand="1" w:val="04A0"/>
        <w:tblW w:w="9360" w:type="dxa"/>
        <w:tblInd w:w="120" w:type="dxa"/>
        <w:tblLayout w:type="fixed"/>
      </w:tblPr>
      <w:tblGrid>
        <w:gridCol w:w="2828"/>
        <w:gridCol w:w="3704"/>
        <w:gridCol w:w="2828"/>
      </w:tblGrid>
      <w:tr>
        <w:tc>
          <w:tcPr>
            <w:tcW w:type="dxa" w:w="2828"/>
            <w:vAlign w:val="center"/>
            <w:shd w:val="clear" w:color="auto" w:fill="F2F4F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等线"/>
                <w:b/>
                <w:color w:val="1F4D78"/>
                <w:sz w:val="19"/>
              </w:rPr>
              <w:t>观点 / 风险</w:t>
            </w:r>
          </w:p>
        </w:tc>
        <w:tc>
          <w:tcPr>
            <w:tcW w:type="dxa" w:w="3704"/>
            <w:vAlign w:val="center"/>
            <w:shd w:val="clear" w:color="auto" w:fill="F2F4F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等线"/>
                <w:b/>
                <w:color w:val="1F4D78"/>
                <w:sz w:val="19"/>
              </w:rPr>
              <w:t>回应</w:t>
            </w:r>
          </w:p>
        </w:tc>
        <w:tc>
          <w:tcPr>
            <w:tcW w:type="dxa" w:w="2828"/>
            <w:vAlign w:val="center"/>
            <w:shd w:val="clear" w:color="auto" w:fill="F2F4F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等线"/>
                <w:b/>
                <w:color w:val="1F4D78"/>
                <w:sz w:val="19"/>
              </w:rPr>
              <w:t>残余不确定性</w:t>
            </w:r>
          </w:p>
        </w:tc>
      </w:tr>
      <w:tr>
        <w:tc>
          <w:tcPr>
            <w:tcW w:type="dxa" w:w="282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等线"/>
                <w:color w:val="253746"/>
                <w:sz w:val="19"/>
              </w:rPr>
              <w:t>高意愿用户更可能保存成果。</w:t>
            </w:r>
          </w:p>
        </w:tc>
        <w:tc>
          <w:tcPr>
            <w:tcW w:type="dxa" w:w="370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等线"/>
                <w:color w:val="253746"/>
                <w:sz w:val="19"/>
              </w:rPr>
              <w:t>把初始意愿分层，并在随机入口实验中比较。</w:t>
            </w:r>
          </w:p>
        </w:tc>
        <w:tc>
          <w:tcPr>
            <w:tcW w:type="dxa" w:w="282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等线"/>
                <w:color w:val="253746"/>
                <w:sz w:val="19"/>
              </w:rPr>
              <w:t>实验前无法估计净因果效果。</w:t>
            </w:r>
          </w:p>
        </w:tc>
      </w:tr>
    </w:tbl>
    <w:p>
      <w:pPr>
        <w:pStyle w:val="Heading1"/>
      </w:pPr>
      <w:r>
        <w:t>建议</w:t>
      </w:r>
    </w:p>
    <w:p>
      <w:r>
        <w:rPr>
          <w:rFonts w:ascii="Calibri" w:hAnsi="Calibri" w:eastAsia="等线"/>
          <w:b/>
          <w:color w:val="1F4D78"/>
        </w:rPr>
        <w:t>1. 优先开展成果保存与复用路径的两周实验。</w:t>
      </w:r>
      <w:r>
        <w:rPr>
          <w:rFonts w:ascii="Calibri" w:hAnsi="Calibri" w:eastAsia="等线"/>
          <w:color w:val="253746"/>
        </w:rPr>
        <w:t xml:space="preserve"> 行为差异与定性机制共同支持其优先级。</w:t>
      </w:r>
    </w:p>
    <w:p>
      <w:pPr>
        <w:pStyle w:val="ListBullet"/>
      </w:pPr>
      <w:r>
        <w:rPr>
          <w:rFonts w:ascii="Calibri" w:hAnsi="Calibri" w:eastAsia="等线"/>
          <w:color w:val="253746"/>
        </w:rPr>
        <w:t>成立条件：设置提醒对照</w:t>
      </w:r>
    </w:p>
    <w:p>
      <w:pPr>
        <w:pStyle w:val="ListBullet"/>
      </w:pPr>
      <w:r>
        <w:rPr>
          <w:rFonts w:ascii="Calibri" w:hAnsi="Calibri" w:eastAsia="等线"/>
          <w:color w:val="253746"/>
        </w:rPr>
        <w:t>成立条件：控制初始意愿</w:t>
      </w:r>
    </w:p>
    <w:p>
      <w:pPr>
        <w:pStyle w:val="ListBullet"/>
      </w:pPr>
      <w:r>
        <w:rPr>
          <w:rFonts w:ascii="Calibri" w:hAnsi="Calibri" w:eastAsia="等线"/>
          <w:color w:val="253746"/>
        </w:rPr>
        <w:t>成立条件：统一回访口径</w:t>
      </w:r>
    </w:p>
    <w:p>
      <w:r>
        <w:br w:type="page"/>
      </w:r>
    </w:p>
    <w:p>
      <w:pPr>
        <w:pStyle w:val="Heading1"/>
      </w:pPr>
      <w:r>
        <w:t>附录</w:t>
      </w:r>
    </w:p>
    <w:p>
      <w:pPr>
        <w:pStyle w:val="Heading2"/>
      </w:pPr>
      <w:r>
        <w:t>分组口径与样本限制</w:t>
      </w:r>
    </w:p>
    <w:p>
      <w:pPr>
        <w:pStyle w:val="ListBullet"/>
      </w:pPr>
      <w:r>
        <w:rPr>
          <w:rFonts w:ascii="Calibri" w:hAnsi="Calibri" w:eastAsia="等线"/>
          <w:color w:val="253746"/>
        </w:rPr>
        <w:t>关联内容：T-01</w:t>
      </w:r>
    </w:p>
    <w:p>
      <w:pPr>
        <w:pStyle w:val="ListBullet"/>
      </w:pPr>
      <w:r>
        <w:rPr>
          <w:rFonts w:ascii="Calibri" w:hAnsi="Calibri" w:eastAsia="等线"/>
          <w:color w:val="253746"/>
        </w:rPr>
        <w:t>关联内容：SRC-01</w:t>
      </w:r>
    </w:p>
    <w:p>
      <w:pPr>
        <w:pStyle w:val="ListBullet"/>
      </w:pPr>
      <w:r>
        <w:rPr>
          <w:rFonts w:ascii="Calibri" w:hAnsi="Calibri" w:eastAsia="等线"/>
          <w:color w:val="253746"/>
        </w:rPr>
        <w:t>关联内容：SRC-02</w:t>
      </w:r>
    </w:p>
    <w:p>
      <w:pPr>
        <w:pStyle w:val="Heading2"/>
      </w:pPr>
      <w:r>
        <w:t>主张与证据追溯</w:t>
      </w:r>
    </w:p>
    <w:p>
      <w:pPr>
        <w:spacing w:before="160" w:after="80"/>
      </w:pPr>
      <w:r>
        <w:rPr>
          <w:rFonts w:ascii="Calibri" w:hAnsi="Calibri" w:eastAsia="等线"/>
          <w:b/>
          <w:color w:val="1F4D78"/>
          <w:sz w:val="20"/>
        </w:rPr>
        <w:t>Claim traceability</w:t>
      </w:r>
    </w:p>
    <w:tbl>
      <w:tblPr>
        <w:tblStyle w:val="TableGrid"/>
        <w:tblLook w:firstColumn="1" w:firstRow="1" w:lastColumn="0" w:lastRow="0" w:noHBand="0" w:noVBand="1" w:val="04A0"/>
        <w:tblW w:w="9360" w:type="dxa"/>
        <w:tblInd w:w="120" w:type="dxa"/>
        <w:tblLayout w:type="fixed"/>
      </w:tblPr>
      <w:tblGrid>
        <w:gridCol w:w="1672"/>
        <w:gridCol w:w="3244"/>
        <w:gridCol w:w="2222"/>
        <w:gridCol w:w="2222"/>
      </w:tblGrid>
      <w:tr>
        <w:tc>
          <w:tcPr>
            <w:tcW w:type="dxa" w:w="1672"/>
            <w:vAlign w:val="center"/>
            <w:shd w:val="clear" w:color="auto" w:fill="F2F4F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等线"/>
                <w:b/>
                <w:color w:val="1F4D78"/>
                <w:sz w:val="19"/>
              </w:rPr>
              <w:t>Claim</w:t>
            </w:r>
          </w:p>
        </w:tc>
        <w:tc>
          <w:tcPr>
            <w:tcW w:type="dxa" w:w="3244"/>
            <w:vAlign w:val="center"/>
            <w:shd w:val="clear" w:color="auto" w:fill="F2F4F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等线"/>
                <w:b/>
                <w:color w:val="1F4D78"/>
                <w:sz w:val="19"/>
              </w:rPr>
              <w:t>主张</w:t>
            </w:r>
          </w:p>
        </w:tc>
        <w:tc>
          <w:tcPr>
            <w:tcW w:type="dxa" w:w="2222"/>
            <w:vAlign w:val="center"/>
            <w:shd w:val="clear" w:color="auto" w:fill="F2F4F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等线"/>
                <w:b/>
                <w:color w:val="1F4D78"/>
                <w:sz w:val="19"/>
              </w:rPr>
              <w:t>证据</w:t>
            </w:r>
          </w:p>
        </w:tc>
        <w:tc>
          <w:tcPr>
            <w:tcW w:type="dxa" w:w="2222"/>
            <w:vAlign w:val="center"/>
            <w:shd w:val="clear" w:color="auto" w:fill="F2F4F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等线"/>
                <w:b/>
                <w:color w:val="1F4D78"/>
                <w:sz w:val="19"/>
              </w:rPr>
              <w:t>来源</w:t>
            </w:r>
          </w:p>
        </w:tc>
      </w:tr>
      <w:tr>
        <w:tc>
          <w:tcPr>
            <w:tcW w:type="dxa" w:w="16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等线"/>
                <w:color w:val="253746"/>
                <w:sz w:val="19"/>
              </w:rPr>
              <w:t>C-01</w:t>
            </w:r>
          </w:p>
        </w:tc>
        <w:tc>
          <w:tcPr>
            <w:tcW w:type="dxa" w:w="324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等线"/>
                <w:color w:val="253746"/>
                <w:sz w:val="19"/>
              </w:rPr>
              <w:t>成果保存与更高的第 7 日回访在冻结样本中共同出现。</w:t>
            </w:r>
          </w:p>
        </w:tc>
        <w:tc>
          <w:tcPr>
            <w:tcW w:type="dxa" w:w="222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等线"/>
                <w:color w:val="253746"/>
                <w:sz w:val="19"/>
              </w:rPr>
              <w:t>E-Q-01、E-Q-02</w:t>
            </w:r>
          </w:p>
        </w:tc>
        <w:tc>
          <w:tcPr>
            <w:tcW w:type="dxa" w:w="222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等线"/>
                <w:color w:val="253746"/>
                <w:sz w:val="19"/>
              </w:rPr>
              <w:t>SRC-01</w:t>
            </w:r>
          </w:p>
        </w:tc>
      </w:tr>
      <w:tr>
        <w:tc>
          <w:tcPr>
            <w:tcW w:type="dxa" w:w="16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等线"/>
                <w:color w:val="253746"/>
                <w:sz w:val="19"/>
              </w:rPr>
              <w:t>C-02</w:t>
            </w:r>
          </w:p>
        </w:tc>
        <w:tc>
          <w:tcPr>
            <w:tcW w:type="dxa" w:w="324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等线"/>
                <w:color w:val="253746"/>
                <w:sz w:val="19"/>
              </w:rPr>
              <w:t>成果复用可能为用户提供持续回访理由。</w:t>
            </w:r>
          </w:p>
        </w:tc>
        <w:tc>
          <w:tcPr>
            <w:tcW w:type="dxa" w:w="222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等线"/>
                <w:color w:val="253746"/>
                <w:sz w:val="19"/>
              </w:rPr>
              <w:t>E-I-01</w:t>
            </w:r>
          </w:p>
        </w:tc>
        <w:tc>
          <w:tcPr>
            <w:tcW w:type="dxa" w:w="222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等线"/>
                <w:color w:val="253746"/>
                <w:sz w:val="19"/>
              </w:rPr>
              <w:t>SRC-02</w:t>
            </w:r>
          </w:p>
        </w:tc>
      </w:tr>
      <w:tr>
        <w:tc>
          <w:tcPr>
            <w:tcW w:type="dxa" w:w="16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等线"/>
                <w:color w:val="253746"/>
                <w:sz w:val="19"/>
              </w:rPr>
              <w:t>C-03</w:t>
            </w:r>
          </w:p>
        </w:tc>
        <w:tc>
          <w:tcPr>
            <w:tcW w:type="dxa" w:w="324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等线"/>
                <w:color w:val="253746"/>
                <w:sz w:val="19"/>
              </w:rPr>
              <w:t>下一阶段应优先验证成果保存与复用闭环。</w:t>
            </w:r>
          </w:p>
        </w:tc>
        <w:tc>
          <w:tcPr>
            <w:tcW w:type="dxa" w:w="222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等线"/>
                <w:color w:val="253746"/>
                <w:sz w:val="19"/>
              </w:rPr>
              <w:t>E-Q-01、E-I-01</w:t>
            </w:r>
          </w:p>
        </w:tc>
        <w:tc>
          <w:tcPr>
            <w:tcW w:type="dxa" w:w="222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等线"/>
                <w:color w:val="253746"/>
                <w:sz w:val="19"/>
              </w:rPr>
              <w:t>SRC-01、SRC-02</w:t>
            </w:r>
          </w:p>
        </w:tc>
      </w:tr>
    </w:tbl>
    <w:p>
      <w:pPr>
        <w:pStyle w:val="Heading2"/>
      </w:pPr>
      <w:r>
        <w:t>来源清单</w:t>
      </w:r>
    </w:p>
    <w:p>
      <w:pPr>
        <w:spacing w:before="160" w:after="80"/>
      </w:pPr>
      <w:r>
        <w:rPr>
          <w:rFonts w:ascii="Calibri" w:hAnsi="Calibri" w:eastAsia="等线"/>
          <w:b/>
          <w:color w:val="1F4D78"/>
          <w:sz w:val="20"/>
        </w:rPr>
        <w:t>Source registry</w:t>
      </w:r>
    </w:p>
    <w:tbl>
      <w:tblPr>
        <w:tblStyle w:val="TableGrid"/>
        <w:tblLook w:firstColumn="1" w:firstRow="1" w:lastColumn="0" w:lastRow="0" w:noHBand="0" w:noVBand="1" w:val="04A0"/>
        <w:tblW w:w="9360" w:type="dxa"/>
        <w:tblInd w:w="120" w:type="dxa"/>
        <w:tblLayout w:type="fixed"/>
      </w:tblPr>
      <w:tblGrid>
        <w:gridCol w:w="1602"/>
        <w:gridCol w:w="1938"/>
        <w:gridCol w:w="2206"/>
        <w:gridCol w:w="3614"/>
      </w:tblGrid>
      <w:tr>
        <w:tc>
          <w:tcPr>
            <w:tcW w:type="dxa" w:w="1602"/>
            <w:vAlign w:val="center"/>
            <w:shd w:val="clear" w:color="auto" w:fill="F2F4F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等线"/>
                <w:b/>
                <w:color w:val="1F4D78"/>
                <w:sz w:val="19"/>
              </w:rPr>
              <w:t>来源 ID</w:t>
            </w:r>
          </w:p>
        </w:tc>
        <w:tc>
          <w:tcPr>
            <w:tcW w:type="dxa" w:w="1938"/>
            <w:vAlign w:val="center"/>
            <w:shd w:val="clear" w:color="auto" w:fill="F2F4F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等线"/>
                <w:b/>
                <w:color w:val="1F4D78"/>
                <w:sz w:val="19"/>
              </w:rPr>
              <w:t>来源</w:t>
            </w:r>
          </w:p>
        </w:tc>
        <w:tc>
          <w:tcPr>
            <w:tcW w:type="dxa" w:w="2206"/>
            <w:vAlign w:val="center"/>
            <w:shd w:val="clear" w:color="auto" w:fill="F2F4F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等线"/>
                <w:b/>
                <w:color w:val="1F4D78"/>
                <w:sz w:val="19"/>
              </w:rPr>
              <w:t>类型</w:t>
            </w:r>
          </w:p>
        </w:tc>
        <w:tc>
          <w:tcPr>
            <w:tcW w:type="dxa" w:w="3614"/>
            <w:vAlign w:val="center"/>
            <w:shd w:val="clear" w:color="auto" w:fill="F2F4F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等线"/>
                <w:b/>
                <w:color w:val="1F4D78"/>
                <w:sz w:val="19"/>
              </w:rPr>
              <w:t>定位</w:t>
            </w:r>
          </w:p>
        </w:tc>
      </w:tr>
      <w:tr>
        <w:tc>
          <w:tcPr>
            <w:tcW w:type="dxa" w:w="160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等线"/>
                <w:color w:val="253746"/>
                <w:sz w:val="19"/>
              </w:rPr>
              <w:t>SRC-01</w:t>
            </w:r>
          </w:p>
        </w:tc>
        <w:tc>
          <w:tcPr>
            <w:tcW w:type="dxa" w:w="193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等线"/>
                <w:color w:val="253746"/>
                <w:sz w:val="19"/>
              </w:rPr>
              <w:t>冻结匿名化行为数据快照</w:t>
            </w:r>
          </w:p>
        </w:tc>
        <w:tc>
          <w:tcPr>
            <w:tcW w:type="dxa" w:w="220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等线"/>
                <w:color w:val="253746"/>
                <w:sz w:val="19"/>
              </w:rPr>
              <w:t>dataset</w:t>
            </w:r>
          </w:p>
        </w:tc>
        <w:tc>
          <w:tcPr>
            <w:tcW w:type="dxa" w:w="361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等线"/>
                <w:color w:val="253746"/>
                <w:sz w:val="19"/>
              </w:rPr>
              <w:t>golden_cases/quantitative_usage/input.json</w:t>
            </w:r>
          </w:p>
        </w:tc>
      </w:tr>
      <w:tr>
        <w:tc>
          <w:tcPr>
            <w:tcW w:type="dxa" w:w="160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等线"/>
                <w:color w:val="253746"/>
                <w:sz w:val="19"/>
              </w:rPr>
              <w:t>SRC-02</w:t>
            </w:r>
          </w:p>
        </w:tc>
        <w:tc>
          <w:tcPr>
            <w:tcW w:type="dxa" w:w="193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等线"/>
                <w:color w:val="253746"/>
                <w:sz w:val="19"/>
              </w:rPr>
              <w:t>冻结匿名化访谈摘录</w:t>
            </w:r>
          </w:p>
        </w:tc>
        <w:tc>
          <w:tcPr>
            <w:tcW w:type="dxa" w:w="220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等线"/>
                <w:color w:val="253746"/>
                <w:sz w:val="19"/>
              </w:rPr>
              <w:t>interview_notes</w:t>
            </w:r>
          </w:p>
        </w:tc>
        <w:tc>
          <w:tcPr>
            <w:tcW w:type="dxa" w:w="361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等线"/>
                <w:color w:val="253746"/>
                <w:sz w:val="19"/>
              </w:rPr>
              <w:t>golden_cases/qualitative_interviews/input.json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/>
      <w:jc w:val="right"/>
    </w:pPr>
    <w:r>
      <w:rPr>
        <w:rFonts w:ascii="Calibri" w:hAnsi="Calibri" w:eastAsia="等线"/>
        <w:color w:val="666666"/>
        <w:sz w:val="16"/>
      </w:rPr>
      <w:t xml:space="preserve">第 </w:t>
    </w:r>
    <w:fldSimple w:instr="PAGE"/>
    <w:r>
      <w:rPr>
        <w:rFonts w:ascii="Calibri" w:hAnsi="Calibri" w:eastAsia="等线"/>
        <w:color w:val="666666"/>
        <w:sz w:val="16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right"/>
    </w:pPr>
    <w:r>
      <w:rPr>
        <w:rFonts w:ascii="Calibri" w:hAnsi="Calibri" w:eastAsia="等线"/>
        <w:color w:val="666666"/>
        <w:sz w:val="16"/>
      </w:rPr>
      <w:t>AI 助手用户留存改善机会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264" w:lineRule="auto"/>
    </w:pPr>
    <w:rPr>
      <w:rFonts w:ascii="Calibri" w:hAnsi="Calibri" w:eastAsia="等线"/>
      <w:color w:val="253746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 w:eastAsia="等线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 w:eastAsia="等线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 w:eastAsia="等线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60" w:line="280" w:lineRule="auto"/>
      <w:ind w:left="720" w:hanging="360"/>
      <w:contextualSpacing/>
    </w:pPr>
    <w:rPr>
      <w:rFonts w:ascii="Calibri" w:hAnsi="Calibri" w:eastAsia="等线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ReportCitation">
    <w:name w:val="Report Citation"/>
    <w:pPr>
      <w:spacing w:before="80" w:after="80"/>
    </w:pPr>
    <w:rPr>
      <w:rFonts w:ascii="Calibri" w:hAnsi="Calibri"/>
      <w:i/>
      <w:color w:val="666666"/>
      <w:sz w:val="16"/>
    </w:rPr>
  </w:style>
  <w:style w:type="paragraph" w:customStyle="1" w:styleId="ReportNote">
    <w:name w:val="Report Note"/>
    <w:pPr>
      <w:spacing w:after="120"/>
    </w:pPr>
    <w:rPr>
      <w:rFonts w:ascii="Calibri" w:hAnsi="Calibri"/>
      <w:color w:val="253746"/>
      <w:sz w:val="20"/>
    </w:rPr>
  </w:style>
  <w:style w:type="paragraph" w:customStyle="1" w:styleId="ReportCallout">
    <w:name w:val="Report Callout"/>
    <w:pPr>
      <w:spacing w:before="120" w:after="160"/>
    </w:pPr>
    <w:rPr>
      <w:rFonts w:ascii="Calibri" w:hAnsi="Calibri"/>
      <w:b/>
      <w:color w:val="1F4D78"/>
      <w:sz w:val="2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