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0F" w:rsidRPr="00E2560F" w:rsidRDefault="00A06104" w:rsidP="00E2560F">
      <w:pPr>
        <w:pStyle w:val="Heading1"/>
      </w:pPr>
      <w:r>
        <w:t>Análisis del código existente</w:t>
      </w:r>
    </w:p>
    <w:p w:rsidR="00A06104" w:rsidRDefault="00E2560F">
      <w:r>
        <w:rPr>
          <w:noProof/>
          <w:lang w:eastAsia="es-ES"/>
        </w:rPr>
        <w:drawing>
          <wp:inline distT="0" distB="0" distL="0" distR="0">
            <wp:extent cx="540067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60F" w:rsidRDefault="00E2560F">
      <w:bookmarkStart w:id="0" w:name="_GoBack"/>
      <w:bookmarkEnd w:id="0"/>
    </w:p>
    <w:p w:rsidR="00DC3FEF" w:rsidRDefault="00A06104">
      <w:r>
        <w:rPr>
          <w:noProof/>
          <w:lang w:eastAsia="es-ES"/>
        </w:rPr>
        <w:drawing>
          <wp:inline distT="0" distB="0" distL="0" distR="0">
            <wp:extent cx="6050923" cy="3190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09" cy="319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04" w:rsidRDefault="00A06104"/>
    <w:p w:rsidR="00A06104" w:rsidRDefault="00A06104" w:rsidP="00A06104">
      <w:pPr>
        <w:pStyle w:val="Heading1"/>
      </w:pPr>
      <w:r>
        <w:t>Pruebas unitarias</w:t>
      </w:r>
    </w:p>
    <w:p w:rsidR="00A06104" w:rsidRDefault="00A06104" w:rsidP="00A06104"/>
    <w:p w:rsidR="00A06104" w:rsidRDefault="00A06104" w:rsidP="00A06104">
      <w:pPr>
        <w:pStyle w:val="Heading1"/>
      </w:pPr>
      <w:r>
        <w:t>Realización de mejoras</w:t>
      </w:r>
    </w:p>
    <w:p w:rsidR="00691ACA" w:rsidRPr="00691ACA" w:rsidRDefault="00691ACA" w:rsidP="00691ACA"/>
    <w:sectPr w:rsidR="00691ACA" w:rsidRPr="00691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B1"/>
    <w:rsid w:val="003C2EB1"/>
    <w:rsid w:val="00691ACA"/>
    <w:rsid w:val="00A06104"/>
    <w:rsid w:val="00DC3FEF"/>
    <w:rsid w:val="00E2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01789-6B38-448E-A10B-A2066BEF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2016-04-25T10:13:00Z</dcterms:created>
  <dcterms:modified xsi:type="dcterms:W3CDTF">2016-04-25T10:56:00Z</dcterms:modified>
</cp:coreProperties>
</file>