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AE357" w14:textId="77777777" w:rsidR="00EC75BE" w:rsidRDefault="00EC75BE" w:rsidP="00EC75BE">
      <w:pPr>
        <w:jc w:val="center"/>
      </w:pPr>
    </w:p>
    <w:p w14:paraId="5A70562C" w14:textId="77777777" w:rsidR="005A3621" w:rsidRDefault="00EC75BE" w:rsidP="00EC75BE">
      <w:pPr>
        <w:jc w:val="center"/>
      </w:pPr>
      <w:r>
        <w:rPr>
          <w:noProof/>
        </w:rPr>
        <w:drawing>
          <wp:inline distT="0" distB="0" distL="0" distR="0" wp14:anchorId="22886997" wp14:editId="66479281">
            <wp:extent cx="1390650" cy="15767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MU-LOGOS-RGB-POSITIVO-1-TT-V.png"/>
                    <pic:cNvPicPr/>
                  </pic:nvPicPr>
                  <pic:blipFill rotWithShape="1">
                    <a:blip r:embed="rId7">
                      <a:extLst>
                        <a:ext uri="{28A0092B-C50C-407E-A947-70E740481C1C}">
                          <a14:useLocalDpi xmlns:a14="http://schemas.microsoft.com/office/drawing/2010/main" val="0"/>
                        </a:ext>
                      </a:extLst>
                    </a:blip>
                    <a:srcRect r="14101"/>
                    <a:stretch/>
                  </pic:blipFill>
                  <pic:spPr bwMode="auto">
                    <a:xfrm>
                      <a:off x="0" y="0"/>
                      <a:ext cx="1415061" cy="1604382"/>
                    </a:xfrm>
                    <a:prstGeom prst="rect">
                      <a:avLst/>
                    </a:prstGeom>
                    <a:ln>
                      <a:noFill/>
                    </a:ln>
                    <a:extLst>
                      <a:ext uri="{53640926-AAD7-44D8-BBD7-CCE9431645EC}">
                        <a14:shadowObscured xmlns:a14="http://schemas.microsoft.com/office/drawing/2010/main"/>
                      </a:ext>
                    </a:extLst>
                  </pic:spPr>
                </pic:pic>
              </a:graphicData>
            </a:graphic>
          </wp:inline>
        </w:drawing>
      </w:r>
    </w:p>
    <w:p w14:paraId="22A6C076" w14:textId="77777777" w:rsidR="00EC75BE" w:rsidRDefault="00EC75BE"/>
    <w:p w14:paraId="09003446" w14:textId="77777777" w:rsidR="00EC75BE" w:rsidRDefault="00EC75BE"/>
    <w:p w14:paraId="67E20FCF" w14:textId="77777777" w:rsidR="00EC75BE" w:rsidRPr="002D12BD" w:rsidRDefault="00EC75BE" w:rsidP="00EC75BE">
      <w:pPr>
        <w:jc w:val="right"/>
        <w:rPr>
          <w:sz w:val="32"/>
          <w:szCs w:val="32"/>
          <w:lang w:val="en-US"/>
        </w:rPr>
      </w:pPr>
      <w:r w:rsidRPr="002D12BD">
        <w:rPr>
          <w:sz w:val="32"/>
          <w:szCs w:val="32"/>
          <w:lang w:val="en-US"/>
        </w:rPr>
        <w:t xml:space="preserve">Grado </w:t>
      </w:r>
      <w:proofErr w:type="spellStart"/>
      <w:r w:rsidRPr="002D12BD">
        <w:rPr>
          <w:sz w:val="32"/>
          <w:szCs w:val="32"/>
          <w:lang w:val="en-US"/>
        </w:rPr>
        <w:t>en</w:t>
      </w:r>
      <w:proofErr w:type="spellEnd"/>
    </w:p>
    <w:p w14:paraId="668562BF" w14:textId="77777777" w:rsidR="00EC75BE" w:rsidRPr="002D12BD" w:rsidRDefault="00EC75BE" w:rsidP="00EC75BE">
      <w:pPr>
        <w:jc w:val="right"/>
        <w:rPr>
          <w:b/>
          <w:bCs/>
          <w:sz w:val="44"/>
          <w:szCs w:val="44"/>
          <w:lang w:val="en-US"/>
        </w:rPr>
      </w:pPr>
      <w:r w:rsidRPr="002D12BD">
        <w:rPr>
          <w:b/>
          <w:bCs/>
          <w:sz w:val="44"/>
          <w:szCs w:val="44"/>
          <w:lang w:val="en-US"/>
        </w:rPr>
        <w:t>Business Data Analytics</w:t>
      </w:r>
    </w:p>
    <w:p w14:paraId="262A1E78" w14:textId="77777777" w:rsidR="00EC75BE" w:rsidRPr="002D12BD" w:rsidRDefault="00EC75BE">
      <w:pPr>
        <w:rPr>
          <w:lang w:val="en-US"/>
        </w:rPr>
      </w:pPr>
    </w:p>
    <w:p w14:paraId="38DF9658" w14:textId="77777777" w:rsidR="004E2BBE" w:rsidRPr="002D12BD" w:rsidRDefault="004E2BBE">
      <w:pPr>
        <w:rPr>
          <w:lang w:val="en-US"/>
        </w:rPr>
      </w:pPr>
    </w:p>
    <w:p w14:paraId="74978302" w14:textId="77777777" w:rsidR="00EC75BE" w:rsidRPr="002D12BD" w:rsidRDefault="00EC75BE">
      <w:pPr>
        <w:rPr>
          <w:lang w:val="en-US"/>
        </w:rPr>
      </w:pPr>
    </w:p>
    <w:p w14:paraId="7389EA25" w14:textId="77777777" w:rsidR="00EC75BE" w:rsidRPr="002D12BD" w:rsidRDefault="004E2BBE" w:rsidP="00EC75BE">
      <w:pPr>
        <w:jc w:val="right"/>
        <w:rPr>
          <w:lang w:val="en-US"/>
        </w:rPr>
      </w:pPr>
      <w:r w:rsidRPr="002D12BD">
        <w:rPr>
          <w:lang w:val="en-US"/>
        </w:rPr>
        <w:t>Informe final</w:t>
      </w:r>
    </w:p>
    <w:p w14:paraId="0CE8888D" w14:textId="0DB0570A" w:rsidR="00EC75BE" w:rsidRPr="00B52D4E" w:rsidRDefault="00EC75BE" w:rsidP="004E2BBE">
      <w:pPr>
        <w:jc w:val="right"/>
      </w:pPr>
      <w:r>
        <w:t>Reto: XXX</w:t>
      </w:r>
      <w:r w:rsidR="002D12BD">
        <w:t xml:space="preserve"> </w:t>
      </w:r>
      <w:r w:rsidR="002D12BD" w:rsidRPr="00B52D4E">
        <w:t>[número y nombre del reto]</w:t>
      </w:r>
    </w:p>
    <w:p w14:paraId="4FCB4D7B" w14:textId="66413241" w:rsidR="00EC75BE" w:rsidRPr="00C77F6C" w:rsidRDefault="002D12BD" w:rsidP="004E2BBE">
      <w:pPr>
        <w:jc w:val="right"/>
      </w:pPr>
      <w:r w:rsidRPr="00C77F6C">
        <w:t xml:space="preserve">Curso: </w:t>
      </w:r>
      <w:r w:rsidR="004D5162">
        <w:t>2</w:t>
      </w:r>
      <w:r w:rsidRPr="00C77F6C">
        <w:t>º 20</w:t>
      </w:r>
      <w:r w:rsidR="00C57E2E">
        <w:t>25</w:t>
      </w:r>
      <w:r w:rsidRPr="00C77F6C">
        <w:t>-202</w:t>
      </w:r>
      <w:r w:rsidR="00C57E2E">
        <w:t>6</w:t>
      </w:r>
    </w:p>
    <w:p w14:paraId="456853BB" w14:textId="77777777" w:rsidR="004E2BBE" w:rsidRDefault="004E2BBE" w:rsidP="004E2BBE">
      <w:pPr>
        <w:jc w:val="right"/>
      </w:pPr>
    </w:p>
    <w:p w14:paraId="4E6103ED" w14:textId="77777777" w:rsidR="004E2BBE" w:rsidRDefault="004E2BBE" w:rsidP="004E2BBE">
      <w:pPr>
        <w:jc w:val="right"/>
      </w:pPr>
    </w:p>
    <w:p w14:paraId="7AE07083" w14:textId="77777777" w:rsidR="004E2BBE" w:rsidRDefault="004E2BBE" w:rsidP="004E2BBE">
      <w:pPr>
        <w:jc w:val="left"/>
      </w:pPr>
    </w:p>
    <w:p w14:paraId="0F49547E" w14:textId="77777777" w:rsidR="004E2BBE" w:rsidRDefault="004E2BBE" w:rsidP="004E2BBE">
      <w:pPr>
        <w:jc w:val="left"/>
      </w:pPr>
    </w:p>
    <w:p w14:paraId="3DD51DC1" w14:textId="77777777" w:rsidR="004E2BBE" w:rsidRDefault="004E2BBE" w:rsidP="004E2BBE">
      <w:pPr>
        <w:jc w:val="left"/>
      </w:pPr>
    </w:p>
    <w:p w14:paraId="33E35BFE" w14:textId="12D3ECA3" w:rsidR="004E2BBE" w:rsidRDefault="002D12BD" w:rsidP="004E2BBE">
      <w:pPr>
        <w:jc w:val="left"/>
      </w:pPr>
      <w:r w:rsidRPr="00B52D4E">
        <w:t>Equipo: [nombre del equipo]</w:t>
      </w:r>
    </w:p>
    <w:p w14:paraId="6729F5B7" w14:textId="1A4BA632" w:rsidR="00B94B9C" w:rsidRDefault="00B94B9C" w:rsidP="004E2BBE">
      <w:pPr>
        <w:jc w:val="left"/>
      </w:pPr>
      <w:r>
        <w:t xml:space="preserve">URL del </w:t>
      </w:r>
      <w:r w:rsidR="001A4101">
        <w:t>repositorio</w:t>
      </w:r>
      <w:r>
        <w:t xml:space="preserve"> en </w:t>
      </w:r>
      <w:r w:rsidR="001A4101">
        <w:t>GitHub</w:t>
      </w:r>
      <w:r>
        <w:t>:</w:t>
      </w:r>
    </w:p>
    <w:p w14:paraId="0760170D" w14:textId="2B20F37B" w:rsidR="00DE7C0F" w:rsidRDefault="00DE7C0F" w:rsidP="004E2BBE">
      <w:pPr>
        <w:jc w:val="left"/>
      </w:pPr>
      <w:r>
        <w:t>Ruta de la carpeta de Google Drive que contiene el proyecto:</w:t>
      </w:r>
    </w:p>
    <w:p w14:paraId="275749E3" w14:textId="6B8888AA" w:rsidR="00DE7C0F" w:rsidRPr="00DE7C0F" w:rsidRDefault="00DE7C0F" w:rsidP="004E2BBE">
      <w:pPr>
        <w:jc w:val="left"/>
        <w:rPr>
          <w:color w:val="FF0000"/>
          <w:sz w:val="20"/>
          <w:szCs w:val="20"/>
        </w:rPr>
      </w:pPr>
      <w:r>
        <w:t xml:space="preserve"> </w:t>
      </w:r>
      <w:r w:rsidRPr="00DE7C0F">
        <w:rPr>
          <w:sz w:val="20"/>
          <w:szCs w:val="20"/>
        </w:rPr>
        <w:t>(</w:t>
      </w:r>
      <w:r w:rsidR="001A4101" w:rsidRPr="00315FE1">
        <w:rPr>
          <w:sz w:val="18"/>
          <w:szCs w:val="18"/>
        </w:rPr>
        <w:t>Ej</w:t>
      </w:r>
      <w:r w:rsidR="001A4101">
        <w:rPr>
          <w:sz w:val="18"/>
          <w:szCs w:val="18"/>
        </w:rPr>
        <w:t>.</w:t>
      </w:r>
      <w:r w:rsidRPr="00315FE1">
        <w:rPr>
          <w:sz w:val="18"/>
          <w:szCs w:val="18"/>
        </w:rPr>
        <w:t xml:space="preserve"> </w:t>
      </w:r>
      <w:r w:rsidR="001A4101">
        <w:rPr>
          <w:sz w:val="18"/>
          <w:szCs w:val="18"/>
        </w:rPr>
        <w:t>AZUL_CLARO</w:t>
      </w:r>
      <w:r w:rsidR="00315FE1" w:rsidRPr="00315FE1">
        <w:rPr>
          <w:sz w:val="18"/>
          <w:szCs w:val="18"/>
        </w:rPr>
        <w:t>\</w:t>
      </w:r>
      <w:r w:rsidRPr="00315FE1">
        <w:rPr>
          <w:sz w:val="18"/>
          <w:szCs w:val="18"/>
        </w:rPr>
        <w:t>R5</w:t>
      </w:r>
      <w:r w:rsidR="00315FE1" w:rsidRPr="00315FE1">
        <w:rPr>
          <w:sz w:val="18"/>
          <w:szCs w:val="18"/>
        </w:rPr>
        <w:t>_Proyecto_</w:t>
      </w:r>
      <w:r w:rsidR="001A4101">
        <w:rPr>
          <w:sz w:val="18"/>
          <w:szCs w:val="18"/>
        </w:rPr>
        <w:t>AZUL_CLARO</w:t>
      </w:r>
      <w:r w:rsidRPr="00DE7C0F">
        <w:rPr>
          <w:sz w:val="20"/>
          <w:szCs w:val="20"/>
        </w:rPr>
        <w:t>)</w:t>
      </w:r>
    </w:p>
    <w:p w14:paraId="344CE1D0" w14:textId="77777777" w:rsidR="004E2BBE" w:rsidRDefault="004E2BBE" w:rsidP="004E2BBE">
      <w:pPr>
        <w:jc w:val="left"/>
      </w:pPr>
    </w:p>
    <w:p w14:paraId="047FA76E" w14:textId="77777777" w:rsidR="004E2BBE" w:rsidRPr="004E2BBE" w:rsidRDefault="004E2BBE" w:rsidP="004E2BBE">
      <w:pPr>
        <w:jc w:val="left"/>
        <w:rPr>
          <w:sz w:val="18"/>
          <w:szCs w:val="18"/>
        </w:rPr>
      </w:pPr>
      <w:r w:rsidRPr="004E2BBE">
        <w:rPr>
          <w:sz w:val="18"/>
          <w:szCs w:val="18"/>
        </w:rPr>
        <w:t>Autores:</w:t>
      </w:r>
    </w:p>
    <w:p w14:paraId="3046E9A6" w14:textId="420AC943" w:rsidR="004E2BBE" w:rsidRPr="004E2BBE" w:rsidRDefault="005A7991" w:rsidP="004E2BBE">
      <w:pPr>
        <w:pStyle w:val="Prrafodelista"/>
        <w:numPr>
          <w:ilvl w:val="0"/>
          <w:numId w:val="4"/>
        </w:numPr>
        <w:rPr>
          <w:sz w:val="18"/>
          <w:szCs w:val="18"/>
        </w:rPr>
      </w:pPr>
      <w:r>
        <w:rPr>
          <w:sz w:val="18"/>
          <w:szCs w:val="18"/>
        </w:rPr>
        <w:t>Erik Arbaiza</w:t>
      </w:r>
    </w:p>
    <w:p w14:paraId="2B7E521C" w14:textId="3F3E9053" w:rsidR="004E2BBE" w:rsidRDefault="005A7991" w:rsidP="004E2BBE">
      <w:pPr>
        <w:pStyle w:val="Prrafodelista"/>
        <w:numPr>
          <w:ilvl w:val="0"/>
          <w:numId w:val="4"/>
        </w:numPr>
        <w:rPr>
          <w:sz w:val="18"/>
          <w:szCs w:val="18"/>
        </w:rPr>
      </w:pPr>
      <w:r>
        <w:rPr>
          <w:sz w:val="18"/>
          <w:szCs w:val="18"/>
        </w:rPr>
        <w:t>Jon Basarte</w:t>
      </w:r>
    </w:p>
    <w:p w14:paraId="2820B69E" w14:textId="511A0390" w:rsidR="004E2BBE" w:rsidRDefault="005A7991" w:rsidP="004E2BBE">
      <w:pPr>
        <w:pStyle w:val="Prrafodelista"/>
        <w:numPr>
          <w:ilvl w:val="0"/>
          <w:numId w:val="4"/>
        </w:numPr>
        <w:rPr>
          <w:sz w:val="18"/>
          <w:szCs w:val="18"/>
        </w:rPr>
      </w:pPr>
      <w:r>
        <w:rPr>
          <w:sz w:val="18"/>
          <w:szCs w:val="18"/>
        </w:rPr>
        <w:t>Adriana Díez</w:t>
      </w:r>
    </w:p>
    <w:p w14:paraId="0A0A98F4" w14:textId="2B78AE46" w:rsidR="004E2BBE" w:rsidRDefault="00552579" w:rsidP="004E2BBE">
      <w:pPr>
        <w:pStyle w:val="Prrafodelista"/>
        <w:numPr>
          <w:ilvl w:val="0"/>
          <w:numId w:val="4"/>
        </w:numPr>
        <w:rPr>
          <w:sz w:val="18"/>
          <w:szCs w:val="18"/>
        </w:rPr>
      </w:pPr>
      <w:r>
        <w:rPr>
          <w:sz w:val="18"/>
          <w:szCs w:val="18"/>
        </w:rPr>
        <w:t>Iraia Lara</w:t>
      </w:r>
      <w:r w:rsidR="005D7C66">
        <w:rPr>
          <w:sz w:val="18"/>
          <w:szCs w:val="18"/>
        </w:rPr>
        <w:t>udogoitia</w:t>
      </w:r>
    </w:p>
    <w:p w14:paraId="539A7C0A" w14:textId="41A07F08" w:rsidR="004E2BBE" w:rsidRDefault="005D7C66" w:rsidP="004E2BBE">
      <w:pPr>
        <w:pStyle w:val="Prrafodelista"/>
        <w:numPr>
          <w:ilvl w:val="0"/>
          <w:numId w:val="4"/>
        </w:numPr>
        <w:rPr>
          <w:sz w:val="18"/>
          <w:szCs w:val="18"/>
        </w:rPr>
      </w:pPr>
      <w:proofErr w:type="spellStart"/>
      <w:r>
        <w:rPr>
          <w:sz w:val="18"/>
          <w:szCs w:val="18"/>
        </w:rPr>
        <w:t>Aketx</w:t>
      </w:r>
      <w:proofErr w:type="spellEnd"/>
      <w:r>
        <w:rPr>
          <w:sz w:val="18"/>
          <w:szCs w:val="18"/>
        </w:rPr>
        <w:t xml:space="preserve"> </w:t>
      </w:r>
      <w:r w:rsidR="00F52C86">
        <w:rPr>
          <w:sz w:val="18"/>
          <w:szCs w:val="18"/>
        </w:rPr>
        <w:t>Tejedor</w:t>
      </w:r>
    </w:p>
    <w:p w14:paraId="68957CB3" w14:textId="0EF1FF6F" w:rsidR="004E2BBE" w:rsidRPr="004E2BBE" w:rsidRDefault="00F52C86" w:rsidP="004E2BBE">
      <w:pPr>
        <w:pStyle w:val="Prrafodelista"/>
        <w:numPr>
          <w:ilvl w:val="0"/>
          <w:numId w:val="4"/>
        </w:numPr>
        <w:rPr>
          <w:sz w:val="18"/>
          <w:szCs w:val="18"/>
        </w:rPr>
      </w:pPr>
      <w:r>
        <w:rPr>
          <w:sz w:val="18"/>
          <w:szCs w:val="18"/>
        </w:rPr>
        <w:t>Gabriel Velasco</w:t>
      </w:r>
    </w:p>
    <w:p w14:paraId="49DDBC8A" w14:textId="77777777" w:rsidR="004E2BBE" w:rsidRPr="004E2BBE" w:rsidRDefault="004E2BBE" w:rsidP="004E2BBE">
      <w:pPr>
        <w:rPr>
          <w:sz w:val="18"/>
          <w:szCs w:val="18"/>
        </w:rPr>
      </w:pPr>
    </w:p>
    <w:p w14:paraId="5A96C7FB" w14:textId="4BD49242" w:rsidR="004E2BBE" w:rsidRPr="00B52D4E" w:rsidRDefault="0016790F">
      <w:r w:rsidRPr="00B52D4E">
        <w:t xml:space="preserve">[Nombre del fichero] </w:t>
      </w:r>
      <w:bookmarkStart w:id="0" w:name="_Hlk40378183"/>
      <w:r w:rsidR="00C57E2E">
        <w:t>25-26</w:t>
      </w:r>
      <w:r w:rsidRPr="00B52D4E">
        <w:t>_</w:t>
      </w:r>
      <w:r w:rsidR="007760B7">
        <w:t>2</w:t>
      </w:r>
      <w:r w:rsidRPr="00B52D4E">
        <w:t>_R</w:t>
      </w:r>
      <w:r w:rsidR="007760B7">
        <w:t>5</w:t>
      </w:r>
      <w:r w:rsidRPr="00B52D4E">
        <w:t>_AzulClaro</w:t>
      </w:r>
    </w:p>
    <w:bookmarkEnd w:id="0"/>
    <w:p w14:paraId="6582DDD2" w14:textId="77777777" w:rsidR="00DA1675" w:rsidRPr="0016790F" w:rsidRDefault="00DA1675">
      <w:pPr>
        <w:spacing w:before="0" w:after="160"/>
        <w:jc w:val="left"/>
        <w:rPr>
          <w:color w:val="FF0000"/>
        </w:rPr>
        <w:sectPr w:rsidR="00DA1675" w:rsidRPr="0016790F" w:rsidSect="004E2BBE">
          <w:pgSz w:w="11906" w:h="16838"/>
          <w:pgMar w:top="1417" w:right="1701" w:bottom="1417" w:left="1701" w:header="708" w:footer="708" w:gutter="0"/>
          <w:cols w:space="708"/>
          <w:docGrid w:linePitch="360"/>
        </w:sectPr>
      </w:pPr>
    </w:p>
    <w:p w14:paraId="6884A1DF" w14:textId="77777777" w:rsidR="00DA1675" w:rsidRDefault="004E2BBE" w:rsidP="006B262D">
      <w:pPr>
        <w:pStyle w:val="Ttulo1"/>
      </w:pPr>
      <w:r>
        <w:lastRenderedPageBreak/>
        <w:t>Índice</w:t>
      </w:r>
    </w:p>
    <w:p w14:paraId="4342C705" w14:textId="77777777" w:rsidR="004E2BBE" w:rsidRDefault="004E2BBE"/>
    <w:p w14:paraId="73D9F0F1" w14:textId="77777777" w:rsidR="004E2BBE" w:rsidRDefault="004E2BBE"/>
    <w:p w14:paraId="0AFD3D7F" w14:textId="77777777" w:rsidR="004E2BBE" w:rsidRDefault="004E2BBE"/>
    <w:p w14:paraId="302CF300" w14:textId="77777777" w:rsidR="004E2BBE" w:rsidRDefault="004E2BBE"/>
    <w:p w14:paraId="477313E0" w14:textId="77777777" w:rsidR="004E2BBE" w:rsidRDefault="004E2BBE">
      <w:pPr>
        <w:spacing w:before="0" w:after="160"/>
        <w:jc w:val="left"/>
      </w:pPr>
      <w:r>
        <w:br w:type="page"/>
      </w:r>
    </w:p>
    <w:p w14:paraId="6F5F1D64" w14:textId="0C55822F" w:rsidR="00746660" w:rsidRPr="00C77F6C" w:rsidRDefault="00C77F6C" w:rsidP="00C77F6C">
      <w:pPr>
        <w:pStyle w:val="Ttulo2"/>
      </w:pPr>
      <w:r w:rsidRPr="00C77F6C">
        <w:lastRenderedPageBreak/>
        <w:t>Introducción</w:t>
      </w:r>
    </w:p>
    <w:p w14:paraId="7CE487F4" w14:textId="10A80B54" w:rsidR="003C6CCE" w:rsidRPr="00C77F6C" w:rsidRDefault="00C77F6C" w:rsidP="003C6CCE">
      <w:pPr>
        <w:rPr>
          <w:i/>
          <w:iCs/>
          <w:color w:val="AEAAAA" w:themeColor="background2" w:themeShade="BF"/>
        </w:rPr>
      </w:pPr>
      <w:r w:rsidRPr="00C77F6C">
        <w:rPr>
          <w:i/>
          <w:iCs/>
          <w:color w:val="AEAAAA" w:themeColor="background2" w:themeShade="BF"/>
        </w:rPr>
        <w:t>Explicar</w:t>
      </w:r>
      <w:r w:rsidR="003C6CCE" w:rsidRPr="00C77F6C">
        <w:rPr>
          <w:i/>
          <w:iCs/>
          <w:color w:val="AEAAAA" w:themeColor="background2" w:themeShade="BF"/>
        </w:rPr>
        <w:t xml:space="preserve"> los </w:t>
      </w:r>
      <w:r w:rsidRPr="00C77F6C">
        <w:rPr>
          <w:i/>
          <w:iCs/>
          <w:color w:val="AEAAAA" w:themeColor="background2" w:themeShade="BF"/>
        </w:rPr>
        <w:t>apartados</w:t>
      </w:r>
      <w:r w:rsidR="003C6CCE" w:rsidRPr="00C77F6C">
        <w:rPr>
          <w:i/>
          <w:iCs/>
          <w:color w:val="AEAAAA" w:themeColor="background2" w:themeShade="BF"/>
        </w:rPr>
        <w:t xml:space="preserve"> que contiene</w:t>
      </w:r>
      <w:r w:rsidRPr="00C77F6C">
        <w:rPr>
          <w:i/>
          <w:iCs/>
          <w:color w:val="AEAAAA" w:themeColor="background2" w:themeShade="BF"/>
        </w:rPr>
        <w:t xml:space="preserve"> este informe</w:t>
      </w:r>
      <w:r w:rsidR="003C6CCE" w:rsidRPr="00C77F6C">
        <w:rPr>
          <w:i/>
          <w:iCs/>
          <w:color w:val="AEAAAA" w:themeColor="background2" w:themeShade="BF"/>
        </w:rPr>
        <w:t>, si ha habido alguna limitación, algo que sea importante saber para entenderlo mejor. Contenido que sirve para “preparar” a quien lo vaya a leer.</w:t>
      </w:r>
      <w:r w:rsidR="00746660" w:rsidRPr="00C77F6C">
        <w:rPr>
          <w:i/>
          <w:iCs/>
          <w:color w:val="AEAAAA" w:themeColor="background2" w:themeShade="BF"/>
        </w:rPr>
        <w:t xml:space="preserve"> </w:t>
      </w:r>
    </w:p>
    <w:p w14:paraId="74FCFD7B" w14:textId="77777777" w:rsidR="00C77F6C" w:rsidRDefault="00C77F6C" w:rsidP="003C6CCE">
      <w:pPr>
        <w:rPr>
          <w:color w:val="FF0000"/>
        </w:rPr>
      </w:pPr>
    </w:p>
    <w:p w14:paraId="78B86B4D" w14:textId="77777777" w:rsidR="00B95175" w:rsidRDefault="00B95175" w:rsidP="003C6CCE">
      <w:pPr>
        <w:rPr>
          <w:color w:val="FF0000"/>
        </w:rPr>
      </w:pPr>
    </w:p>
    <w:p w14:paraId="5AC0A67A" w14:textId="77777777" w:rsidR="00B95175" w:rsidRDefault="00B95175" w:rsidP="003C6CCE">
      <w:pPr>
        <w:rPr>
          <w:color w:val="FF0000"/>
        </w:rPr>
      </w:pPr>
    </w:p>
    <w:p w14:paraId="6D10261A" w14:textId="77777777" w:rsidR="00B95175" w:rsidRDefault="00B95175" w:rsidP="003C6CCE">
      <w:pPr>
        <w:rPr>
          <w:color w:val="FF0000"/>
        </w:rPr>
      </w:pPr>
    </w:p>
    <w:p w14:paraId="5A28174B" w14:textId="77777777" w:rsidR="00B95175" w:rsidRDefault="00B95175" w:rsidP="003C6CCE">
      <w:pPr>
        <w:rPr>
          <w:color w:val="FF0000"/>
        </w:rPr>
      </w:pPr>
    </w:p>
    <w:p w14:paraId="1516807B" w14:textId="77777777" w:rsidR="00B95175" w:rsidRDefault="00B95175" w:rsidP="003C6CCE">
      <w:pPr>
        <w:rPr>
          <w:color w:val="FF0000"/>
        </w:rPr>
      </w:pPr>
    </w:p>
    <w:p w14:paraId="421F9378" w14:textId="77777777" w:rsidR="00B95175" w:rsidRDefault="00B95175" w:rsidP="003C6CCE">
      <w:pPr>
        <w:rPr>
          <w:color w:val="FF0000"/>
        </w:rPr>
      </w:pPr>
    </w:p>
    <w:p w14:paraId="6F34EC05" w14:textId="77777777" w:rsidR="00B95175" w:rsidRDefault="00B95175" w:rsidP="003C6CCE">
      <w:pPr>
        <w:rPr>
          <w:color w:val="FF0000"/>
        </w:rPr>
      </w:pPr>
    </w:p>
    <w:p w14:paraId="7035FEE9" w14:textId="77777777" w:rsidR="00B95175" w:rsidRDefault="00B95175" w:rsidP="003C6CCE">
      <w:pPr>
        <w:rPr>
          <w:color w:val="FF0000"/>
        </w:rPr>
      </w:pPr>
    </w:p>
    <w:p w14:paraId="0C761D9F" w14:textId="77777777" w:rsidR="00B95175" w:rsidRDefault="00B95175" w:rsidP="003C6CCE">
      <w:pPr>
        <w:rPr>
          <w:color w:val="FF0000"/>
        </w:rPr>
      </w:pPr>
    </w:p>
    <w:p w14:paraId="02936573" w14:textId="77777777" w:rsidR="00B95175" w:rsidRDefault="00B95175" w:rsidP="003C6CCE">
      <w:pPr>
        <w:rPr>
          <w:color w:val="FF0000"/>
        </w:rPr>
      </w:pPr>
    </w:p>
    <w:p w14:paraId="16D02568" w14:textId="77777777" w:rsidR="00B95175" w:rsidRDefault="00B95175" w:rsidP="003C6CCE">
      <w:pPr>
        <w:rPr>
          <w:color w:val="FF0000"/>
        </w:rPr>
      </w:pPr>
    </w:p>
    <w:p w14:paraId="56B20A7E" w14:textId="77777777" w:rsidR="00B95175" w:rsidRDefault="00B95175" w:rsidP="003C6CCE">
      <w:pPr>
        <w:rPr>
          <w:color w:val="FF0000"/>
        </w:rPr>
      </w:pPr>
    </w:p>
    <w:p w14:paraId="269E8A6E" w14:textId="77777777" w:rsidR="00B95175" w:rsidRDefault="00B95175" w:rsidP="003C6CCE">
      <w:pPr>
        <w:rPr>
          <w:color w:val="FF0000"/>
        </w:rPr>
      </w:pPr>
    </w:p>
    <w:p w14:paraId="21CE1C2B" w14:textId="77777777" w:rsidR="00B95175" w:rsidRDefault="00B95175" w:rsidP="003C6CCE">
      <w:pPr>
        <w:rPr>
          <w:color w:val="FF0000"/>
        </w:rPr>
      </w:pPr>
    </w:p>
    <w:p w14:paraId="62A3F683" w14:textId="77777777" w:rsidR="00B95175" w:rsidRDefault="00B95175" w:rsidP="003C6CCE">
      <w:pPr>
        <w:rPr>
          <w:color w:val="FF0000"/>
        </w:rPr>
      </w:pPr>
    </w:p>
    <w:p w14:paraId="5163A42F" w14:textId="77777777" w:rsidR="00B95175" w:rsidRDefault="00B95175" w:rsidP="003C6CCE">
      <w:pPr>
        <w:rPr>
          <w:color w:val="FF0000"/>
        </w:rPr>
      </w:pPr>
    </w:p>
    <w:p w14:paraId="3A29A851" w14:textId="77777777" w:rsidR="00B95175" w:rsidRDefault="00B95175" w:rsidP="003C6CCE">
      <w:pPr>
        <w:rPr>
          <w:color w:val="FF0000"/>
        </w:rPr>
      </w:pPr>
    </w:p>
    <w:p w14:paraId="6AEEE4F6" w14:textId="77777777" w:rsidR="00B95175" w:rsidRDefault="00B95175" w:rsidP="003C6CCE">
      <w:pPr>
        <w:rPr>
          <w:color w:val="FF0000"/>
        </w:rPr>
      </w:pPr>
    </w:p>
    <w:p w14:paraId="50A89A2B" w14:textId="77777777" w:rsidR="00B95175" w:rsidRDefault="00B95175" w:rsidP="003C6CCE">
      <w:pPr>
        <w:rPr>
          <w:color w:val="FF0000"/>
        </w:rPr>
      </w:pPr>
    </w:p>
    <w:p w14:paraId="02D143FB" w14:textId="77777777" w:rsidR="00B95175" w:rsidRDefault="00B95175" w:rsidP="003C6CCE">
      <w:pPr>
        <w:rPr>
          <w:color w:val="FF0000"/>
        </w:rPr>
      </w:pPr>
    </w:p>
    <w:p w14:paraId="2833F780" w14:textId="77777777" w:rsidR="00B95175" w:rsidRDefault="00B95175" w:rsidP="003C6CCE">
      <w:pPr>
        <w:rPr>
          <w:color w:val="FF0000"/>
        </w:rPr>
      </w:pPr>
    </w:p>
    <w:p w14:paraId="695A88B9" w14:textId="77777777" w:rsidR="00B95175" w:rsidRDefault="00B95175" w:rsidP="003C6CCE">
      <w:pPr>
        <w:rPr>
          <w:color w:val="FF0000"/>
        </w:rPr>
      </w:pPr>
    </w:p>
    <w:p w14:paraId="0656FECF" w14:textId="77777777" w:rsidR="00B95175" w:rsidRDefault="00B95175" w:rsidP="003C6CCE">
      <w:pPr>
        <w:rPr>
          <w:color w:val="FF0000"/>
        </w:rPr>
      </w:pPr>
    </w:p>
    <w:p w14:paraId="2E28F924" w14:textId="77777777" w:rsidR="00B95175" w:rsidRDefault="00B95175" w:rsidP="003C6CCE">
      <w:pPr>
        <w:rPr>
          <w:color w:val="FF0000"/>
        </w:rPr>
      </w:pPr>
    </w:p>
    <w:p w14:paraId="6858EED2" w14:textId="77777777" w:rsidR="00B95175" w:rsidRDefault="00B95175" w:rsidP="003C6CCE">
      <w:pPr>
        <w:rPr>
          <w:color w:val="FF0000"/>
        </w:rPr>
      </w:pPr>
    </w:p>
    <w:p w14:paraId="3910C6EF" w14:textId="77777777" w:rsidR="00B95175" w:rsidRDefault="00B95175" w:rsidP="003C6CCE">
      <w:pPr>
        <w:rPr>
          <w:color w:val="FF0000"/>
        </w:rPr>
      </w:pPr>
    </w:p>
    <w:p w14:paraId="1C6CE5D5" w14:textId="77777777" w:rsidR="00B95175" w:rsidRDefault="00B95175" w:rsidP="003C6CCE">
      <w:pPr>
        <w:rPr>
          <w:color w:val="FF0000"/>
        </w:rPr>
      </w:pPr>
    </w:p>
    <w:p w14:paraId="2EA3B0FC" w14:textId="77777777" w:rsidR="00B95175" w:rsidRDefault="00B95175" w:rsidP="003C6CCE">
      <w:pPr>
        <w:rPr>
          <w:color w:val="FF0000"/>
        </w:rPr>
      </w:pPr>
    </w:p>
    <w:p w14:paraId="478C9D46" w14:textId="77777777" w:rsidR="00B95175" w:rsidRDefault="00B95175" w:rsidP="003C6CCE">
      <w:pPr>
        <w:rPr>
          <w:color w:val="FF0000"/>
        </w:rPr>
      </w:pPr>
    </w:p>
    <w:p w14:paraId="0AEB7BCF" w14:textId="77777777" w:rsidR="00B95175" w:rsidRPr="003C6CCE" w:rsidRDefault="00B95175" w:rsidP="003C6CCE">
      <w:pPr>
        <w:rPr>
          <w:color w:val="FF0000"/>
        </w:rPr>
      </w:pPr>
    </w:p>
    <w:p w14:paraId="1C4B819A" w14:textId="4A61B2D0" w:rsidR="004E2BBE" w:rsidRDefault="006B262D" w:rsidP="00AF3846">
      <w:pPr>
        <w:pStyle w:val="Ttulo2"/>
      </w:pPr>
      <w:r>
        <w:lastRenderedPageBreak/>
        <w:t>I</w:t>
      </w:r>
      <w:r w:rsidR="00960D73">
        <w:t>dentificar la problemática</w:t>
      </w:r>
    </w:p>
    <w:p w14:paraId="5018381D" w14:textId="3E52E29F" w:rsidR="004363D0" w:rsidRPr="004363D0" w:rsidRDefault="006B262D" w:rsidP="004363D0">
      <w:pPr>
        <w:pStyle w:val="Ttulo3"/>
      </w:pPr>
      <w:r>
        <w:t>Sobre el cliente</w:t>
      </w:r>
    </w:p>
    <w:p w14:paraId="61FE9DDB" w14:textId="77777777" w:rsidR="009527F5" w:rsidRPr="009527F5" w:rsidRDefault="009527F5" w:rsidP="009527F5">
      <w:pPr>
        <w:spacing w:before="0" w:after="160"/>
        <w:rPr>
          <w:rFonts w:eastAsiaTheme="majorEastAsia" w:cstheme="majorBidi"/>
          <w:bCs/>
        </w:rPr>
      </w:pPr>
      <w:r w:rsidRPr="009527F5">
        <w:rPr>
          <w:rFonts w:eastAsiaTheme="majorEastAsia" w:cstheme="majorBidi"/>
          <w:bCs/>
        </w:rPr>
        <w:t>Laboral Kutxa es una cooperativa de crédito vasca perteneciente al Grupo Mondragón, referente internacional en el ámbito de la economía cooperativa. Desde su creación, su objetivo principal ha sido ofrecer a las cooperativas industriales servicios sociales, económicos y empresariales.</w:t>
      </w:r>
    </w:p>
    <w:p w14:paraId="7FFAC1E2" w14:textId="77777777" w:rsidR="009527F5" w:rsidRPr="009527F5" w:rsidRDefault="009527F5" w:rsidP="009527F5">
      <w:pPr>
        <w:spacing w:before="0" w:after="160"/>
        <w:rPr>
          <w:rFonts w:eastAsiaTheme="majorEastAsia" w:cstheme="majorBidi"/>
          <w:bCs/>
        </w:rPr>
      </w:pPr>
      <w:r w:rsidRPr="009527F5">
        <w:rPr>
          <w:rFonts w:eastAsiaTheme="majorEastAsia" w:cstheme="majorBidi"/>
          <w:bCs/>
        </w:rPr>
        <w:t>Su misión consiste en atender las necesidades financieras de socios y clientes, apostando por el liderazgo en calidad y servicio a través de un asesoramiento cercano y personalizado. Los más de 2.200 socios trabajadores que forman parte de la organización están comprometidos con una forma diferente de hacer banca, en la que la ética, la cooperación y la sostenibilidad constituyen pilares fundamentales.</w:t>
      </w:r>
    </w:p>
    <w:p w14:paraId="2A7B18F8" w14:textId="2115B998" w:rsidR="00B95175" w:rsidRPr="009527F5" w:rsidRDefault="009527F5" w:rsidP="009527F5">
      <w:pPr>
        <w:spacing w:before="0" w:after="160"/>
        <w:rPr>
          <w:rFonts w:eastAsiaTheme="majorEastAsia" w:cstheme="majorBidi"/>
          <w:bCs/>
        </w:rPr>
      </w:pPr>
      <w:r w:rsidRPr="009527F5">
        <w:rPr>
          <w:rFonts w:eastAsiaTheme="majorEastAsia" w:cstheme="majorBidi"/>
          <w:bCs/>
        </w:rPr>
        <w:t>El compromiso con el medio ambiente es otro de los ejes estratégicos de Laboral Kutxa. Por ello, cuentan con un Sistema de Gestión Ambiental y desarrollan numerosas iniciativas para que sus actividades resulten más sostenibles. De hecho, son pioneros en el sector financiero en implantar este tipo de sistema en los edificios de su sede central.</w:t>
      </w:r>
    </w:p>
    <w:p w14:paraId="0B16093D" w14:textId="3DC88D40" w:rsidR="006B262D" w:rsidRDefault="006B262D" w:rsidP="006B262D">
      <w:pPr>
        <w:pStyle w:val="Ttulo3"/>
      </w:pPr>
      <w:r>
        <w:t>Sobre la problemática</w:t>
      </w:r>
    </w:p>
    <w:p w14:paraId="6C5A2A3D" w14:textId="4BC1B0CA" w:rsidR="00B95175" w:rsidRDefault="00B95175" w:rsidP="00B95175">
      <w:r w:rsidRPr="00B95175">
        <w:t xml:space="preserve">La problemática central del proyecto consiste en generar predicciones fiables del </w:t>
      </w:r>
      <w:r w:rsidRPr="00B95175">
        <w:rPr>
          <w:b/>
          <w:bCs/>
        </w:rPr>
        <w:t xml:space="preserve">PIB </w:t>
      </w:r>
      <w:r w:rsidRPr="00B95175">
        <w:t xml:space="preserve">(Producto Interno Bruto) y del </w:t>
      </w:r>
      <w:r w:rsidRPr="00B95175">
        <w:rPr>
          <w:b/>
          <w:bCs/>
        </w:rPr>
        <w:t>IPC</w:t>
      </w:r>
      <w:r w:rsidRPr="00B95175">
        <w:t xml:space="preserve"> (Índice de Precios al Consumidor) de Australia para el último trimestre del año 2022. Ambos indicadores son fundamentales para </w:t>
      </w:r>
      <w:r w:rsidRPr="00B95175">
        <w:rPr>
          <w:b/>
          <w:bCs/>
        </w:rPr>
        <w:t>evaluar la situación económica</w:t>
      </w:r>
      <w:r w:rsidRPr="00B95175">
        <w:t xml:space="preserve"> y </w:t>
      </w:r>
      <w:r w:rsidRPr="00B95175">
        <w:rPr>
          <w:b/>
          <w:bCs/>
        </w:rPr>
        <w:t>la inflación del país</w:t>
      </w:r>
      <w:r w:rsidRPr="00B95175">
        <w:t xml:space="preserve">, información que resulta clave para que el cliente tome </w:t>
      </w:r>
      <w:r w:rsidRPr="00B95175">
        <w:rPr>
          <w:b/>
          <w:bCs/>
        </w:rPr>
        <w:t>decisiones estratégicas</w:t>
      </w:r>
      <w:r w:rsidRPr="00B95175">
        <w:t xml:space="preserve"> sobre su posible </w:t>
      </w:r>
      <w:r w:rsidRPr="00B95175">
        <w:rPr>
          <w:b/>
          <w:bCs/>
        </w:rPr>
        <w:t xml:space="preserve">expansión en </w:t>
      </w:r>
      <w:r>
        <w:rPr>
          <w:b/>
          <w:bCs/>
        </w:rPr>
        <w:t>el</w:t>
      </w:r>
      <w:r w:rsidRPr="00B95175">
        <w:rPr>
          <w:b/>
          <w:bCs/>
        </w:rPr>
        <w:t xml:space="preserve"> mercado</w:t>
      </w:r>
      <w:r>
        <w:rPr>
          <w:b/>
          <w:bCs/>
        </w:rPr>
        <w:t xml:space="preserve"> australiano</w:t>
      </w:r>
      <w:r w:rsidRPr="00B95175">
        <w:t>.</w:t>
      </w:r>
      <w:r w:rsidRPr="00B95175">
        <w:br/>
      </w:r>
    </w:p>
    <w:p w14:paraId="51DFA1FF" w14:textId="597DC280" w:rsidR="008030B9" w:rsidRPr="008030B9" w:rsidRDefault="00B95175" w:rsidP="008030B9">
      <w:r>
        <w:t>Es por ello</w:t>
      </w:r>
      <w:r w:rsidRPr="00B95175">
        <w:t xml:space="preserve">, </w:t>
      </w:r>
      <w:r>
        <w:t xml:space="preserve">que </w:t>
      </w:r>
      <w:r w:rsidRPr="00B95175">
        <w:t xml:space="preserve">se analizarán los datos proporcionados por la empresa, que incluyen los indicadores mencionados junto con diversas variables </w:t>
      </w:r>
      <w:r w:rsidRPr="00B95175">
        <w:rPr>
          <w:b/>
          <w:bCs/>
        </w:rPr>
        <w:t>macroeconómicas</w:t>
      </w:r>
      <w:r w:rsidRPr="00B95175">
        <w:t xml:space="preserve"> relevantes. Posteriormente, se compararán las predicciones obtenidas con estimaciones realizadas por </w:t>
      </w:r>
      <w:r w:rsidRPr="00B95175">
        <w:rPr>
          <w:b/>
          <w:bCs/>
        </w:rPr>
        <w:t>expertos</w:t>
      </w:r>
      <w:r w:rsidRPr="00B95175">
        <w:t>, con el fin de identificar la fiabilidad de los modelos y proporcionar un análisis sólido sobre las perspectivas económicas de Australia.</w:t>
      </w:r>
    </w:p>
    <w:p w14:paraId="6D487C77" w14:textId="09428D9C" w:rsidR="002D12BD" w:rsidRDefault="002D12BD" w:rsidP="002D12BD">
      <w:pPr>
        <w:pStyle w:val="Ttulo3"/>
        <w:rPr>
          <w:color w:val="000000" w:themeColor="text1"/>
        </w:rPr>
      </w:pPr>
      <w:r w:rsidRPr="008030B9">
        <w:rPr>
          <w:color w:val="000000" w:themeColor="text1"/>
        </w:rPr>
        <w:t>Objetivos</w:t>
      </w:r>
    </w:p>
    <w:p w14:paraId="66DA93D4" w14:textId="77777777" w:rsidR="00AF3846" w:rsidRPr="00AF3846" w:rsidRDefault="00AF3846" w:rsidP="00AF3846">
      <w:r w:rsidRPr="00AF3846">
        <w:t xml:space="preserve">Con el fin de apoyar a Laboral Kutxa en su posible entrada al mercado australiano, este proyecto busca predecir la evolución del PIB y del IPC de Australia para el último trimestre de 2022, utilizando modelos desarrollados en Fundamentos Matemáticos y Data </w:t>
      </w:r>
      <w:proofErr w:type="spellStart"/>
      <w:r w:rsidRPr="00AF3846">
        <w:t>Mining</w:t>
      </w:r>
      <w:proofErr w:type="spellEnd"/>
      <w:r w:rsidRPr="00AF3846">
        <w:t>. Estas predicciones permitirán analizar la situación económica del país y proporcionar información relevante sobre tendencias de crecimiento o desaceleración.</w:t>
      </w:r>
    </w:p>
    <w:p w14:paraId="6A661729" w14:textId="77777777" w:rsidR="00AF3846" w:rsidRPr="00AF3846" w:rsidRDefault="00AF3846" w:rsidP="00AF3846">
      <w:r w:rsidRPr="00AF3846">
        <w:t>A partir de los resultados obtenidos, se elaborarán recomendaciones estratégicas que ayuden al cliente a evaluar la viabilidad y las condiciones del mercado australiano, considerando posibles acciones para su expansión. El objetivo es ofrecer un análisis claro que sirva como base para la toma de decisiones estratégicas.</w:t>
      </w:r>
    </w:p>
    <w:p w14:paraId="598775FF" w14:textId="1FDFADDA" w:rsidR="00AF3846" w:rsidRDefault="00AF3846" w:rsidP="00AF3846">
      <w:r w:rsidRPr="00AF3846">
        <w:t>Además, se compararán las predicciones propias con estimaciones realizadas por expertos, como autoridades oficiales y entidades financieras, y se contrastarán ambas con los valores reales de PIB e IPC publicados para el último trimestre de 2022. Esta comparación permitirá evaluar la fiabilidad de los modelos utilizados y fortalecer las conclusiones y recomendaciones del proyecto.</w:t>
      </w:r>
    </w:p>
    <w:p w14:paraId="2B9666AA" w14:textId="77777777" w:rsidR="00AF3846" w:rsidRPr="00AF3846" w:rsidRDefault="00AF3846" w:rsidP="00AF3846"/>
    <w:p w14:paraId="32AFE630" w14:textId="6A5D5720" w:rsidR="006B262D" w:rsidRDefault="00960D73" w:rsidP="006B262D">
      <w:pPr>
        <w:pStyle w:val="Ttulo2"/>
      </w:pPr>
      <w:r>
        <w:t>Recoger y almacenar los datos</w:t>
      </w:r>
    </w:p>
    <w:p w14:paraId="211E8340" w14:textId="28F55E25" w:rsidR="006B262D" w:rsidRDefault="006B262D"/>
    <w:p w14:paraId="7D4A6401" w14:textId="68B1396F" w:rsidR="008716C0" w:rsidRDefault="006B262D" w:rsidP="00050519">
      <w:pPr>
        <w:pStyle w:val="Ttulo3"/>
      </w:pPr>
      <w:r>
        <w:t>Fuentes de datos utilizadas</w:t>
      </w:r>
    </w:p>
    <w:p w14:paraId="71F557AC" w14:textId="7225D148" w:rsidR="00746660" w:rsidRPr="00C77F6C" w:rsidRDefault="008030B9" w:rsidP="00746660">
      <w:pPr>
        <w:rPr>
          <w:i/>
          <w:iCs/>
          <w:color w:val="AEAAAA" w:themeColor="background2" w:themeShade="BF"/>
        </w:rPr>
      </w:pPr>
      <w:r w:rsidRPr="00C77F6C">
        <w:rPr>
          <w:i/>
          <w:iCs/>
          <w:color w:val="AEAAAA" w:themeColor="background2" w:themeShade="BF"/>
        </w:rPr>
        <w:t>Breve descripción de las bases de datos proporcionadas</w:t>
      </w:r>
    </w:p>
    <w:p w14:paraId="66B941DF" w14:textId="77777777" w:rsidR="00220F6C" w:rsidRDefault="00220F6C" w:rsidP="008716C0"/>
    <w:p w14:paraId="0E498291" w14:textId="77777777" w:rsidR="0023379D" w:rsidRDefault="0023379D" w:rsidP="008716C0"/>
    <w:p w14:paraId="0F379F38" w14:textId="77777777" w:rsidR="0023379D" w:rsidRPr="008716C0" w:rsidRDefault="0023379D" w:rsidP="008716C0"/>
    <w:p w14:paraId="43669660" w14:textId="1FB24A7F" w:rsidR="006B262D" w:rsidRDefault="006B262D" w:rsidP="006B262D">
      <w:pPr>
        <w:pStyle w:val="Ttulo3"/>
      </w:pPr>
      <w:r>
        <w:t>Procesamiento de los datos</w:t>
      </w:r>
    </w:p>
    <w:p w14:paraId="1B74CC0C" w14:textId="77777777" w:rsidR="00E83306" w:rsidRDefault="00E83306" w:rsidP="00E83306">
      <w:pPr>
        <w:spacing w:before="0" w:after="160"/>
        <w:jc w:val="left"/>
        <w:rPr>
          <w:rFonts w:eastAsiaTheme="majorEastAsia" w:cstheme="majorBidi"/>
          <w:bCs/>
        </w:rPr>
      </w:pPr>
    </w:p>
    <w:p w14:paraId="7225E043" w14:textId="77777777" w:rsidR="00E83306" w:rsidRPr="00E83306" w:rsidRDefault="00E83306" w:rsidP="00E83306">
      <w:pPr>
        <w:spacing w:before="0" w:after="160"/>
        <w:jc w:val="left"/>
        <w:rPr>
          <w:rFonts w:eastAsiaTheme="majorEastAsia" w:cstheme="majorBidi"/>
          <w:bCs/>
        </w:rPr>
      </w:pPr>
      <w:r w:rsidRPr="00E83306">
        <w:rPr>
          <w:rFonts w:eastAsiaTheme="majorEastAsia" w:cstheme="majorBidi"/>
          <w:bCs/>
        </w:rPr>
        <w:t xml:space="preserve">Para poder completar los objetivos propuestos, se comenzó filtrando y limpiando los datos, considerando únicamente el país asignado, Australia. Se contaba con bases de datos que incluían variables exógenas y otra base con las variables principales, PIB e IPC. Los datos fueron filtrados y consolidados en un </w:t>
      </w:r>
      <w:proofErr w:type="gramStart"/>
      <w:r w:rsidRPr="00E83306">
        <w:rPr>
          <w:rFonts w:eastAsiaTheme="majorEastAsia" w:cstheme="majorBidi"/>
          <w:bCs/>
        </w:rPr>
        <w:t>único data</w:t>
      </w:r>
      <w:proofErr w:type="gramEnd"/>
      <w:r w:rsidRPr="00E83306">
        <w:rPr>
          <w:rFonts w:eastAsiaTheme="majorEastAsia" w:cstheme="majorBidi"/>
          <w:bCs/>
        </w:rPr>
        <w:t xml:space="preserve"> </w:t>
      </w:r>
      <w:proofErr w:type="gramStart"/>
      <w:r w:rsidRPr="00E83306">
        <w:rPr>
          <w:rFonts w:eastAsiaTheme="majorEastAsia" w:cstheme="majorBidi"/>
          <w:bCs/>
        </w:rPr>
        <w:t>frame</w:t>
      </w:r>
      <w:proofErr w:type="gramEnd"/>
      <w:r w:rsidRPr="00E83306">
        <w:rPr>
          <w:rFonts w:eastAsiaTheme="majorEastAsia" w:cstheme="majorBidi"/>
          <w:bCs/>
        </w:rPr>
        <w:t xml:space="preserve"> mediante un left_join, asegurando que todas las variables estuvieran alineadas temporalmente por país, código, continente, año y mes. Durante esta revisión inicial se identificaron </w:t>
      </w:r>
      <w:r w:rsidRPr="00E83306">
        <w:rPr>
          <w:rFonts w:eastAsiaTheme="majorEastAsia" w:cstheme="majorBidi"/>
          <w:b/>
        </w:rPr>
        <w:t xml:space="preserve">valores faltantes </w:t>
      </w:r>
      <w:r w:rsidRPr="00E83306">
        <w:rPr>
          <w:rFonts w:eastAsiaTheme="majorEastAsia" w:cstheme="majorBidi"/>
          <w:bCs/>
        </w:rPr>
        <w:t xml:space="preserve">en algunas variables mensuales clave, que fueron imputados manualmente utilizando fuentes confiables como </w:t>
      </w:r>
      <w:r w:rsidRPr="00E83306">
        <w:rPr>
          <w:rFonts w:eastAsiaTheme="majorEastAsia" w:cstheme="majorBidi"/>
          <w:b/>
        </w:rPr>
        <w:t xml:space="preserve">Trading </w:t>
      </w:r>
      <w:proofErr w:type="spellStart"/>
      <w:r w:rsidRPr="00E83306">
        <w:rPr>
          <w:rFonts w:eastAsiaTheme="majorEastAsia" w:cstheme="majorBidi"/>
          <w:b/>
        </w:rPr>
        <w:t>Economics</w:t>
      </w:r>
      <w:proofErr w:type="spellEnd"/>
      <w:r w:rsidRPr="00E83306">
        <w:rPr>
          <w:rFonts w:eastAsiaTheme="majorEastAsia" w:cstheme="majorBidi"/>
          <w:b/>
        </w:rPr>
        <w:t xml:space="preserve"> y FRED,</w:t>
      </w:r>
      <w:r w:rsidRPr="00E83306">
        <w:rPr>
          <w:rFonts w:eastAsiaTheme="majorEastAsia" w:cstheme="majorBidi"/>
          <w:bCs/>
        </w:rPr>
        <w:t xml:space="preserve"> garantizando la continuidad de las series hasta septiembre de 2022.</w:t>
      </w:r>
    </w:p>
    <w:p w14:paraId="32195527" w14:textId="77777777" w:rsidR="00E83306" w:rsidRPr="00E83306" w:rsidRDefault="00E83306" w:rsidP="00E83306">
      <w:pPr>
        <w:spacing w:before="0" w:after="160"/>
        <w:jc w:val="left"/>
        <w:rPr>
          <w:rFonts w:eastAsiaTheme="majorEastAsia" w:cstheme="majorBidi"/>
          <w:bCs/>
        </w:rPr>
      </w:pPr>
      <w:r w:rsidRPr="00E83306">
        <w:rPr>
          <w:rFonts w:eastAsiaTheme="majorEastAsia" w:cstheme="majorBidi"/>
          <w:bCs/>
        </w:rPr>
        <w:t xml:space="preserve">Posteriormente, se procedió a transformar todas las variables a </w:t>
      </w:r>
      <w:r w:rsidRPr="00E83306">
        <w:rPr>
          <w:rFonts w:eastAsiaTheme="majorEastAsia" w:cstheme="majorBidi"/>
          <w:b/>
        </w:rPr>
        <w:t>series temporales trimestrales.</w:t>
      </w:r>
      <w:r w:rsidRPr="00E83306">
        <w:rPr>
          <w:rFonts w:eastAsiaTheme="majorEastAsia" w:cstheme="majorBidi"/>
          <w:bCs/>
        </w:rPr>
        <w:t xml:space="preserve"> Las variables exógenas, originalmente mensuales, se agregaron de manera diferenciada según su naturaleza: la tasa de desempleo se calculó como </w:t>
      </w:r>
      <w:r w:rsidRPr="00E83306">
        <w:rPr>
          <w:rFonts w:eastAsiaTheme="majorEastAsia" w:cstheme="majorBidi"/>
          <w:b/>
        </w:rPr>
        <w:t>promedio trimestral</w:t>
      </w:r>
      <w:r w:rsidRPr="00E83306">
        <w:rPr>
          <w:rFonts w:eastAsiaTheme="majorEastAsia" w:cstheme="majorBidi"/>
          <w:bCs/>
        </w:rPr>
        <w:t xml:space="preserve">, mientras que la oferta monetaria y el índice bursátil tomaron el </w:t>
      </w:r>
      <w:r w:rsidRPr="00E83306">
        <w:rPr>
          <w:rFonts w:eastAsiaTheme="majorEastAsia" w:cstheme="majorBidi"/>
          <w:b/>
        </w:rPr>
        <w:t>valor correspondiente al último mes de cada trimestre</w:t>
      </w:r>
      <w:r w:rsidRPr="00E83306">
        <w:rPr>
          <w:rFonts w:eastAsiaTheme="majorEastAsia" w:cstheme="majorBidi"/>
          <w:bCs/>
        </w:rPr>
        <w:t xml:space="preserve">. El PIB y el IPC ya estaban disponibles en frecuencia trimestral, por lo que solo fue necesario organizar sus valores y eliminar los </w:t>
      </w:r>
      <w:proofErr w:type="spellStart"/>
      <w:r w:rsidRPr="00E83306">
        <w:rPr>
          <w:rFonts w:eastAsiaTheme="majorEastAsia" w:cstheme="majorBidi"/>
          <w:bCs/>
        </w:rPr>
        <w:t>NAs</w:t>
      </w:r>
      <w:proofErr w:type="spellEnd"/>
      <w:r w:rsidRPr="00E83306">
        <w:rPr>
          <w:rFonts w:eastAsiaTheme="majorEastAsia" w:cstheme="majorBidi"/>
          <w:bCs/>
        </w:rPr>
        <w:t xml:space="preserve"> iniciales. Esta homogeneización permitió disponer de un conjunto consistente de series temporales, fundamental para aplicar modelos predictivos y realizar comparaciones coherentes entre todas las variables económicas.</w:t>
      </w:r>
    </w:p>
    <w:p w14:paraId="10E47D22" w14:textId="77777777" w:rsidR="00E83306" w:rsidRPr="00E83306" w:rsidRDefault="00E83306" w:rsidP="00E83306">
      <w:pPr>
        <w:spacing w:before="0" w:after="160"/>
        <w:jc w:val="left"/>
        <w:rPr>
          <w:rFonts w:eastAsiaTheme="majorEastAsia" w:cstheme="majorBidi"/>
          <w:bCs/>
        </w:rPr>
      </w:pPr>
      <w:r w:rsidRPr="00E83306">
        <w:rPr>
          <w:rFonts w:eastAsiaTheme="majorEastAsia" w:cstheme="majorBidi"/>
          <w:bCs/>
        </w:rPr>
        <w:t xml:space="preserve">Con el fin de explorar la evolución de los datos y asegurar su calidad, se generaron gráficos de las series mensuales y trimestrales para cada variable, identificando patrones, estacionalidades y valores atípicos. Los </w:t>
      </w:r>
      <w:proofErr w:type="spellStart"/>
      <w:r w:rsidRPr="00E83306">
        <w:rPr>
          <w:rFonts w:eastAsiaTheme="majorEastAsia" w:cstheme="majorBidi"/>
          <w:b/>
        </w:rPr>
        <w:t>outliers</w:t>
      </w:r>
      <w:proofErr w:type="spellEnd"/>
      <w:r w:rsidRPr="00E83306">
        <w:rPr>
          <w:rFonts w:eastAsiaTheme="majorEastAsia" w:cstheme="majorBidi"/>
          <w:bCs/>
        </w:rPr>
        <w:t xml:space="preserve"> fueron detectados con </w:t>
      </w:r>
      <w:proofErr w:type="spellStart"/>
      <w:proofErr w:type="gramStart"/>
      <w:r w:rsidRPr="00E83306">
        <w:rPr>
          <w:rFonts w:eastAsiaTheme="majorEastAsia" w:cstheme="majorBidi"/>
          <w:bCs/>
        </w:rPr>
        <w:t>tsoutliers</w:t>
      </w:r>
      <w:proofErr w:type="spellEnd"/>
      <w:r w:rsidRPr="00E83306">
        <w:rPr>
          <w:rFonts w:eastAsiaTheme="majorEastAsia" w:cstheme="majorBidi"/>
          <w:bCs/>
        </w:rPr>
        <w:t>(</w:t>
      </w:r>
      <w:proofErr w:type="gramEnd"/>
      <w:r w:rsidRPr="00E83306">
        <w:rPr>
          <w:rFonts w:eastAsiaTheme="majorEastAsia" w:cstheme="majorBidi"/>
          <w:bCs/>
        </w:rPr>
        <w:t xml:space="preserve">) y visualizados sobre la serie original mediante puntos que señalaban su ubicación. Posteriormente, se eliminaron utilizando </w:t>
      </w:r>
      <w:proofErr w:type="spellStart"/>
      <w:proofErr w:type="gramStart"/>
      <w:r w:rsidRPr="00E83306">
        <w:rPr>
          <w:rFonts w:eastAsiaTheme="majorEastAsia" w:cstheme="majorBidi"/>
          <w:bCs/>
        </w:rPr>
        <w:t>tsclean</w:t>
      </w:r>
      <w:proofErr w:type="spellEnd"/>
      <w:r w:rsidRPr="00E83306">
        <w:rPr>
          <w:rFonts w:eastAsiaTheme="majorEastAsia" w:cstheme="majorBidi"/>
          <w:bCs/>
        </w:rPr>
        <w:t>(</w:t>
      </w:r>
      <w:proofErr w:type="gramEnd"/>
      <w:r w:rsidRPr="00E83306">
        <w:rPr>
          <w:rFonts w:eastAsiaTheme="majorEastAsia" w:cstheme="majorBidi"/>
          <w:bCs/>
        </w:rPr>
        <w:t xml:space="preserve">), reemplazándolos por interpolaciones robustas. La mayoría de los valores atípicos </w:t>
      </w:r>
      <w:r w:rsidRPr="00E83306">
        <w:rPr>
          <w:rFonts w:eastAsiaTheme="majorEastAsia" w:cstheme="majorBidi"/>
          <w:b/>
        </w:rPr>
        <w:t>eran puntuales y dispersos</w:t>
      </w:r>
      <w:r w:rsidRPr="00E83306">
        <w:rPr>
          <w:rFonts w:eastAsiaTheme="majorEastAsia" w:cstheme="majorBidi"/>
          <w:bCs/>
        </w:rPr>
        <w:t>, por lo que la limpieza no afectó la estructura general de las series, garantizando que los análisis posteriores y los modelos predictivos del PIB e IPC se realizaran sobre datos consistentes y representativos de la evolución económica australiana.</w:t>
      </w:r>
    </w:p>
    <w:p w14:paraId="28A12B2A" w14:textId="77777777" w:rsidR="00E83306" w:rsidRPr="00E83306" w:rsidRDefault="00E83306" w:rsidP="00E83306">
      <w:pPr>
        <w:spacing w:before="0" w:after="160"/>
        <w:jc w:val="left"/>
        <w:rPr>
          <w:rFonts w:eastAsiaTheme="majorEastAsia" w:cstheme="majorBidi"/>
          <w:bCs/>
        </w:rPr>
      </w:pPr>
      <w:r w:rsidRPr="00E83306">
        <w:rPr>
          <w:rFonts w:eastAsiaTheme="majorEastAsia" w:cstheme="majorBidi"/>
          <w:bCs/>
        </w:rPr>
        <w:t xml:space="preserve">Este procesamiento de datos permitió disponer de un </w:t>
      </w:r>
      <w:r w:rsidRPr="00E83306">
        <w:rPr>
          <w:rFonts w:eastAsiaTheme="majorEastAsia" w:cstheme="majorBidi"/>
          <w:b/>
        </w:rPr>
        <w:t>conjunto sólido y uniforme,</w:t>
      </w:r>
      <w:r w:rsidRPr="00E83306">
        <w:rPr>
          <w:rFonts w:eastAsiaTheme="majorEastAsia" w:cstheme="majorBidi"/>
          <w:bCs/>
        </w:rPr>
        <w:t xml:space="preserve"> asegurando que los modelos predictivos generen resultados </w:t>
      </w:r>
      <w:r w:rsidRPr="00E83306">
        <w:rPr>
          <w:rFonts w:eastAsiaTheme="majorEastAsia" w:cstheme="majorBidi"/>
          <w:b/>
        </w:rPr>
        <w:t>fiables</w:t>
      </w:r>
      <w:r w:rsidRPr="00E83306">
        <w:rPr>
          <w:rFonts w:eastAsiaTheme="majorEastAsia" w:cstheme="majorBidi"/>
          <w:bCs/>
        </w:rPr>
        <w:t xml:space="preserve"> y reflejen patrones reales de la economía australiana, proporcionando a Laboral Kutxa información precisa para evaluar oportunidades de expansión y comparar sus predicciones con estimaciones oficiales y de expertos.</w:t>
      </w:r>
    </w:p>
    <w:p w14:paraId="22E18BD8" w14:textId="76F0EA2A" w:rsidR="0023379D" w:rsidRDefault="00E83306" w:rsidP="00E83306">
      <w:pPr>
        <w:spacing w:before="0" w:after="160"/>
        <w:jc w:val="left"/>
        <w:rPr>
          <w:rFonts w:eastAsiaTheme="majorEastAsia" w:cstheme="majorBidi"/>
          <w:b/>
          <w:i/>
          <w:iCs/>
        </w:rPr>
      </w:pPr>
      <w:r w:rsidRPr="00E83306">
        <w:rPr>
          <w:rFonts w:eastAsiaTheme="majorEastAsia" w:cstheme="majorBidi"/>
          <w:b/>
          <w:i/>
          <w:iCs/>
        </w:rPr>
        <w:lastRenderedPageBreak/>
        <w:cr/>
      </w:r>
    </w:p>
    <w:p w14:paraId="4BE46ADF" w14:textId="77777777" w:rsidR="0023379D" w:rsidRDefault="0023379D" w:rsidP="00050519">
      <w:pPr>
        <w:spacing w:before="0" w:after="160"/>
        <w:jc w:val="left"/>
        <w:rPr>
          <w:rFonts w:eastAsiaTheme="majorEastAsia" w:cstheme="majorBidi"/>
          <w:b/>
          <w:i/>
          <w:iCs/>
        </w:rPr>
      </w:pPr>
    </w:p>
    <w:p w14:paraId="28EF5C62" w14:textId="77777777" w:rsidR="0023379D" w:rsidRDefault="0023379D" w:rsidP="00050519">
      <w:pPr>
        <w:spacing w:before="0" w:after="160"/>
        <w:jc w:val="left"/>
        <w:rPr>
          <w:rFonts w:eastAsiaTheme="majorEastAsia" w:cstheme="majorBidi"/>
          <w:b/>
          <w:i/>
          <w:iCs/>
        </w:rPr>
      </w:pPr>
    </w:p>
    <w:p w14:paraId="09108492" w14:textId="77777777" w:rsidR="0023379D" w:rsidRDefault="0023379D" w:rsidP="00050519">
      <w:pPr>
        <w:spacing w:before="0" w:after="160"/>
        <w:jc w:val="left"/>
        <w:rPr>
          <w:rFonts w:eastAsiaTheme="majorEastAsia" w:cstheme="majorBidi"/>
          <w:b/>
          <w:i/>
          <w:iCs/>
        </w:rPr>
      </w:pPr>
    </w:p>
    <w:p w14:paraId="41EC9949" w14:textId="77777777" w:rsidR="0023379D" w:rsidRDefault="0023379D" w:rsidP="00050519">
      <w:pPr>
        <w:spacing w:before="0" w:after="160"/>
        <w:jc w:val="left"/>
        <w:rPr>
          <w:rFonts w:eastAsiaTheme="majorEastAsia" w:cstheme="majorBidi"/>
          <w:b/>
          <w:i/>
          <w:iCs/>
        </w:rPr>
      </w:pPr>
    </w:p>
    <w:p w14:paraId="5B9BEC56" w14:textId="5002BF61" w:rsidR="004E2BBE" w:rsidRDefault="00960D73" w:rsidP="006B262D">
      <w:pPr>
        <w:pStyle w:val="Ttulo2"/>
      </w:pPr>
      <w:r>
        <w:t>Analizar y modelar los datos</w:t>
      </w:r>
    </w:p>
    <w:p w14:paraId="07C674BD" w14:textId="77777777" w:rsidR="006B262D" w:rsidRDefault="006B262D"/>
    <w:p w14:paraId="7F6FA5AF" w14:textId="2BDEBDFE" w:rsidR="008716C0" w:rsidRDefault="00960D73" w:rsidP="008716C0">
      <w:pPr>
        <w:pStyle w:val="Ttulo3"/>
      </w:pPr>
      <w:r>
        <w:t>Análisis descriptivo</w:t>
      </w:r>
      <w:r w:rsidR="008716C0">
        <w:t>s</w:t>
      </w:r>
    </w:p>
    <w:p w14:paraId="6DDE9CE5" w14:textId="5DFB9F4C" w:rsidR="0047192C" w:rsidRDefault="0047192C">
      <w:pPr>
        <w:rPr>
          <w:rFonts w:eastAsiaTheme="majorEastAsia" w:cstheme="majorBidi"/>
          <w:b/>
          <w:i/>
          <w:iCs/>
        </w:rPr>
      </w:pPr>
    </w:p>
    <w:p w14:paraId="1B717F84" w14:textId="77777777" w:rsidR="0047192C" w:rsidRDefault="0047192C"/>
    <w:p w14:paraId="01466A68" w14:textId="6C316774" w:rsidR="004458EE" w:rsidRDefault="00960D73" w:rsidP="00050519">
      <w:pPr>
        <w:pStyle w:val="Ttulo3"/>
      </w:pPr>
      <w:r>
        <w:t>Modelar los datos</w:t>
      </w:r>
      <w:r w:rsidR="00FA437F">
        <w:t xml:space="preserve"> y Visualizar los resultados obtenidos</w:t>
      </w:r>
      <w:r w:rsidR="0013720E">
        <w:t xml:space="preserve"> </w:t>
      </w:r>
    </w:p>
    <w:p w14:paraId="33F82E0F" w14:textId="1693E591" w:rsidR="0077493C" w:rsidRDefault="0077493C" w:rsidP="0077493C"/>
    <w:p w14:paraId="395E34DB" w14:textId="1F1BABDA" w:rsidR="00094040" w:rsidRDefault="00094040" w:rsidP="0077493C">
      <w:r>
        <w:t xml:space="preserve">Para llevar </w:t>
      </w:r>
      <w:proofErr w:type="gramStart"/>
      <w:r>
        <w:t>acabo</w:t>
      </w:r>
      <w:proofErr w:type="gramEnd"/>
      <w:r>
        <w:t xml:space="preserve"> las predicciones, se </w:t>
      </w:r>
      <w:proofErr w:type="spellStart"/>
      <w:r>
        <w:t>dividierons</w:t>
      </w:r>
      <w:proofErr w:type="spellEnd"/>
      <w:r>
        <w:t xml:space="preserve"> las series temporales del PIB y IPC en conjuntos de entrenamiento y prueba. El entrenamiento </w:t>
      </w:r>
      <w:proofErr w:type="spellStart"/>
      <w:r>
        <w:t>incluyiendo</w:t>
      </w:r>
      <w:proofErr w:type="spellEnd"/>
      <w:r>
        <w:t xml:space="preserve"> el primer </w:t>
      </w:r>
      <w:proofErr w:type="spellStart"/>
      <w:r>
        <w:t>tirmestre</w:t>
      </w:r>
      <w:proofErr w:type="spellEnd"/>
      <w:r>
        <w:t xml:space="preserve"> de 1998 hasta cuarto </w:t>
      </w:r>
      <w:proofErr w:type="spellStart"/>
      <w:r>
        <w:t>trimentes</w:t>
      </w:r>
      <w:proofErr w:type="spellEnd"/>
      <w:r>
        <w:t xml:space="preserve"> de 2020, mientras que las series de prueba incluyeron desde el primer </w:t>
      </w:r>
      <w:proofErr w:type="spellStart"/>
      <w:r>
        <w:t>trismeste</w:t>
      </w:r>
      <w:proofErr w:type="spellEnd"/>
      <w:r>
        <w:t xml:space="preserve"> de 2021 hasta el segundo de 202.</w:t>
      </w:r>
    </w:p>
    <w:p w14:paraId="25CA5E71" w14:textId="77777777" w:rsidR="00094040" w:rsidRDefault="00094040" w:rsidP="0077493C"/>
    <w:p w14:paraId="687DB40B" w14:textId="1B67AB5E" w:rsidR="00094040" w:rsidRDefault="00094040" w:rsidP="0077493C">
      <w:r>
        <w:t xml:space="preserve">Una vez se garantiza la estacionariedad de las series, se procedió a ajustar diferentes modelos de series temporales, AutoARIMA, ARIMA manual y SARIMA. La selección de los parámetros para los modelos ARIMA y SARIMA </w:t>
      </w:r>
      <w:r w:rsidR="00D653B2">
        <w:t>manuales, la selección de los parámetros “p, d, q” y estacionales “</w:t>
      </w:r>
      <w:proofErr w:type="gramStart"/>
      <w:r w:rsidR="00D653B2">
        <w:t>P,D</w:t>
      </w:r>
      <w:proofErr w:type="gramEnd"/>
      <w:r w:rsidR="00D653B2">
        <w:t xml:space="preserve">,Q”, se </w:t>
      </w:r>
      <w:proofErr w:type="spellStart"/>
      <w:r w:rsidR="00D653B2">
        <w:t>baso</w:t>
      </w:r>
      <w:proofErr w:type="spellEnd"/>
      <w:r w:rsidR="00D653B2">
        <w:t xml:space="preserve"> en el análisis de las </w:t>
      </w:r>
      <w:proofErr w:type="spellStart"/>
      <w:r>
        <w:t>función</w:t>
      </w:r>
      <w:r w:rsidR="00D653B2">
        <w:t>es</w:t>
      </w:r>
      <w:proofErr w:type="spellEnd"/>
      <w:r>
        <w:t xml:space="preserve"> de autocorrelación (ACF) y autocorrelación parcial (PACF) de las series diferenciadas</w:t>
      </w:r>
      <w:r w:rsidR="001F0B7E">
        <w:t>.</w:t>
      </w:r>
      <w:r w:rsidR="00D653B2">
        <w:t xml:space="preserve"> La validación de los </w:t>
      </w:r>
      <w:proofErr w:type="spellStart"/>
      <w:r w:rsidR="00D653B2">
        <w:t>modelso</w:t>
      </w:r>
      <w:proofErr w:type="spellEnd"/>
      <w:r w:rsidR="00D653B2">
        <w:t xml:space="preserve"> se </w:t>
      </w:r>
      <w:proofErr w:type="spellStart"/>
      <w:r w:rsidR="00D653B2">
        <w:t>realizo</w:t>
      </w:r>
      <w:proofErr w:type="spellEnd"/>
      <w:r w:rsidR="00D653B2">
        <w:t xml:space="preserve"> evaluando los residuos mediante </w:t>
      </w:r>
      <w:proofErr w:type="gramStart"/>
      <w:r w:rsidR="00D653B2">
        <w:t>el test</w:t>
      </w:r>
      <w:proofErr w:type="gramEnd"/>
      <w:r w:rsidR="00D653B2">
        <w:t xml:space="preserve"> de </w:t>
      </w:r>
      <w:proofErr w:type="spellStart"/>
      <w:r w:rsidR="00D653B2">
        <w:t>Ljung</w:t>
      </w:r>
      <w:proofErr w:type="spellEnd"/>
      <w:r w:rsidR="00D653B2">
        <w:t xml:space="preserve"> -</w:t>
      </w:r>
      <w:proofErr w:type="gramStart"/>
      <w:r w:rsidR="00D653B2">
        <w:t>box  y</w:t>
      </w:r>
      <w:proofErr w:type="gramEnd"/>
      <w:r w:rsidR="00D653B2">
        <w:t xml:space="preserve"> la inspección grafica de residuos con la función </w:t>
      </w:r>
      <w:proofErr w:type="spellStart"/>
      <w:r w:rsidR="00D653B2">
        <w:t>checkresiduals</w:t>
      </w:r>
      <w:proofErr w:type="spellEnd"/>
      <w:r w:rsidR="00D653B2">
        <w:t>. En general los residuos de los moleos del IPC y de PIB se comportaron como ruido blanco, con la excepción del modelo AutoARIMA del PIB, que presento autocorrelación significativa (p-</w:t>
      </w:r>
      <w:proofErr w:type="spellStart"/>
      <w:r w:rsidR="00D653B2">
        <w:t>value</w:t>
      </w:r>
      <w:proofErr w:type="spellEnd"/>
      <w:r w:rsidR="00D653B2">
        <w:t xml:space="preserve"> = 2.153e – 05). Los gráficos de la validación de </w:t>
      </w:r>
      <w:proofErr w:type="spellStart"/>
      <w:r w:rsidR="00D653B2">
        <w:t>reisudos</w:t>
      </w:r>
      <w:proofErr w:type="spellEnd"/>
      <w:r w:rsidR="00D653B2">
        <w:t xml:space="preserve"> y los detalle del </w:t>
      </w:r>
      <w:proofErr w:type="spellStart"/>
      <w:r w:rsidR="00D653B2">
        <w:t>tecto</w:t>
      </w:r>
      <w:proofErr w:type="spellEnd"/>
      <w:r w:rsidR="00D653B2">
        <w:t xml:space="preserve"> de LJUNG se presentan en el ANEXO </w:t>
      </w:r>
      <w:proofErr w:type="gramStart"/>
      <w:r w:rsidR="00D653B2">
        <w:t>1</w:t>
      </w:r>
      <w:r w:rsidR="001F0B7E">
        <w:t xml:space="preserve"> </w:t>
      </w:r>
      <w:r w:rsidR="00D653B2">
        <w:t>.</w:t>
      </w:r>
      <w:proofErr w:type="gramEnd"/>
    </w:p>
    <w:p w14:paraId="137C0FB8" w14:textId="77777777" w:rsidR="00D653B2" w:rsidRDefault="00D653B2" w:rsidP="0077493C"/>
    <w:p w14:paraId="581F2B5D" w14:textId="77777777" w:rsidR="0088447B" w:rsidRDefault="00D653B2" w:rsidP="0077493C">
      <w:r>
        <w:t xml:space="preserve">Las predicciones se realizaron sobre el conjunto de prueba utilizando la función </w:t>
      </w:r>
      <w:proofErr w:type="spellStart"/>
      <w:proofErr w:type="gramStart"/>
      <w:r>
        <w:t>forecast</w:t>
      </w:r>
      <w:proofErr w:type="spellEnd"/>
      <w:r>
        <w:t>(</w:t>
      </w:r>
      <w:proofErr w:type="gramEnd"/>
      <w:r>
        <w:t xml:space="preserve">). Dado que las series habían sido </w:t>
      </w:r>
      <w:proofErr w:type="spellStart"/>
      <w:r>
        <w:t>tranformadas</w:t>
      </w:r>
      <w:proofErr w:type="spellEnd"/>
      <w:r>
        <w:t xml:space="preserve"> o diferenciadas, los pronósticos fueron revertidos a las unidades originales antes de compararlos con los datos observados. En el caso de IPC, que fue diferenciada una sola vez, se utilizo </w:t>
      </w:r>
      <w:proofErr w:type="spellStart"/>
      <w:proofErr w:type="gramStart"/>
      <w:r>
        <w:t>diffinv</w:t>
      </w:r>
      <w:proofErr w:type="spellEnd"/>
      <w:r>
        <w:t>(</w:t>
      </w:r>
      <w:proofErr w:type="gramEnd"/>
      <w:r>
        <w:t xml:space="preserve">) para revertir la diferencia simple. Para el PIB, que </w:t>
      </w:r>
      <w:proofErr w:type="spellStart"/>
      <w:r>
        <w:t>requierio</w:t>
      </w:r>
      <w:proofErr w:type="spellEnd"/>
      <w:r>
        <w:t xml:space="preserve"> estabilización de la varianza y diferencias dobles</w:t>
      </w:r>
      <w:r w:rsidR="0088447B">
        <w:t xml:space="preserve"> y un </w:t>
      </w:r>
      <w:proofErr w:type="spellStart"/>
      <w:r w:rsidR="0088447B">
        <w:t>lag</w:t>
      </w:r>
      <w:proofErr w:type="spellEnd"/>
      <w:r w:rsidR="0088447B">
        <w:t xml:space="preserve"> de cuatro trimestres, se </w:t>
      </w:r>
      <w:proofErr w:type="spellStart"/>
      <w:r w:rsidR="0088447B">
        <w:t>aplico</w:t>
      </w:r>
      <w:proofErr w:type="spellEnd"/>
      <w:r w:rsidR="0088447B">
        <w:t xml:space="preserve"> la inversión de ambas diferencias (primero la no estacional y luego la estacional con </w:t>
      </w:r>
      <w:proofErr w:type="spellStart"/>
      <w:r w:rsidR="0088447B">
        <w:t>lag</w:t>
      </w:r>
      <w:proofErr w:type="spellEnd"/>
      <w:r w:rsidR="0088447B">
        <w:t xml:space="preserve"> =4) y se deshizo la transformación logarítmica. De esta forma, los pronósticos se expresaron en las unidades originales, permitiendo una </w:t>
      </w:r>
      <w:proofErr w:type="spellStart"/>
      <w:r w:rsidR="0088447B">
        <w:t>comapracion</w:t>
      </w:r>
      <w:proofErr w:type="spellEnd"/>
      <w:r w:rsidR="0088447B">
        <w:t xml:space="preserve"> directa con los valores reales observados. </w:t>
      </w:r>
    </w:p>
    <w:p w14:paraId="5FAE3889" w14:textId="77777777" w:rsidR="0088447B" w:rsidRDefault="0088447B" w:rsidP="0077493C">
      <w:r>
        <w:t xml:space="preserve">A </w:t>
      </w:r>
      <w:proofErr w:type="gramStart"/>
      <w:r>
        <w:t>continuación</w:t>
      </w:r>
      <w:proofErr w:type="gramEnd"/>
      <w:r>
        <w:t xml:space="preserve"> se </w:t>
      </w:r>
      <w:proofErr w:type="spellStart"/>
      <w:r>
        <w:t>comaprarons</w:t>
      </w:r>
      <w:proofErr w:type="spellEnd"/>
      <w:r>
        <w:t xml:space="preserve"> las métricas de cada modelo para </w:t>
      </w:r>
      <w:proofErr w:type="spellStart"/>
      <w:r>
        <w:t>cad</w:t>
      </w:r>
      <w:proofErr w:type="spellEnd"/>
      <w:r>
        <w:t xml:space="preserve"> </w:t>
      </w:r>
      <w:proofErr w:type="spellStart"/>
      <w:r>
        <w:t>ana</w:t>
      </w:r>
      <w:proofErr w:type="spellEnd"/>
      <w:r>
        <w:t xml:space="preserve"> de las variables.</w:t>
      </w:r>
    </w:p>
    <w:tbl>
      <w:tblPr>
        <w:tblStyle w:val="Tablaconcuadrcula"/>
        <w:tblW w:w="0" w:type="auto"/>
        <w:tblLook w:val="04A0" w:firstRow="1" w:lastRow="0" w:firstColumn="1" w:lastColumn="0" w:noHBand="0" w:noVBand="1"/>
      </w:tblPr>
      <w:tblGrid>
        <w:gridCol w:w="1574"/>
        <w:gridCol w:w="2459"/>
        <w:gridCol w:w="1487"/>
        <w:gridCol w:w="1487"/>
        <w:gridCol w:w="1487"/>
      </w:tblGrid>
      <w:tr w:rsidR="0088447B" w14:paraId="620A6E4A" w14:textId="77777777">
        <w:tc>
          <w:tcPr>
            <w:tcW w:w="8494" w:type="dxa"/>
            <w:gridSpan w:val="5"/>
          </w:tcPr>
          <w:p w14:paraId="37A8CE98" w14:textId="6F15037E" w:rsidR="0088447B" w:rsidRDefault="0088447B" w:rsidP="0088447B">
            <w:pPr>
              <w:jc w:val="center"/>
            </w:pPr>
            <w:r>
              <w:lastRenderedPageBreak/>
              <w:t>MODELOS IPC</w:t>
            </w:r>
          </w:p>
        </w:tc>
      </w:tr>
      <w:tr w:rsidR="0088447B" w14:paraId="4DE406A3" w14:textId="77777777" w:rsidTr="0088447B">
        <w:tc>
          <w:tcPr>
            <w:tcW w:w="1698" w:type="dxa"/>
            <w:shd w:val="clear" w:color="auto" w:fill="993366"/>
          </w:tcPr>
          <w:p w14:paraId="4535FB41" w14:textId="1403214C" w:rsidR="0088447B" w:rsidRPr="0088447B" w:rsidRDefault="0088447B" w:rsidP="0088447B">
            <w:pPr>
              <w:jc w:val="center"/>
              <w:rPr>
                <w:b/>
                <w:bCs/>
              </w:rPr>
            </w:pPr>
            <w:r w:rsidRPr="0088447B">
              <w:rPr>
                <w:b/>
                <w:bCs/>
              </w:rPr>
              <w:t>Modelo</w:t>
            </w:r>
          </w:p>
        </w:tc>
        <w:tc>
          <w:tcPr>
            <w:tcW w:w="1699" w:type="dxa"/>
            <w:shd w:val="clear" w:color="auto" w:fill="993366"/>
          </w:tcPr>
          <w:p w14:paraId="42F4B572" w14:textId="02B5390C" w:rsidR="0088447B" w:rsidRPr="0088447B" w:rsidRDefault="0088447B" w:rsidP="0088447B">
            <w:pPr>
              <w:jc w:val="center"/>
              <w:rPr>
                <w:b/>
                <w:bCs/>
              </w:rPr>
            </w:pPr>
            <w:r w:rsidRPr="0088447B">
              <w:rPr>
                <w:b/>
                <w:bCs/>
              </w:rPr>
              <w:t>ME</w:t>
            </w:r>
          </w:p>
        </w:tc>
        <w:tc>
          <w:tcPr>
            <w:tcW w:w="1699" w:type="dxa"/>
            <w:shd w:val="clear" w:color="auto" w:fill="993366"/>
          </w:tcPr>
          <w:p w14:paraId="40E19F2B" w14:textId="3FD782FD" w:rsidR="0088447B" w:rsidRPr="0088447B" w:rsidRDefault="0088447B" w:rsidP="0088447B">
            <w:pPr>
              <w:jc w:val="center"/>
              <w:rPr>
                <w:b/>
                <w:bCs/>
              </w:rPr>
            </w:pPr>
            <w:r w:rsidRPr="0088447B">
              <w:rPr>
                <w:b/>
                <w:bCs/>
              </w:rPr>
              <w:t>RMSE</w:t>
            </w:r>
          </w:p>
        </w:tc>
        <w:tc>
          <w:tcPr>
            <w:tcW w:w="1699" w:type="dxa"/>
            <w:shd w:val="clear" w:color="auto" w:fill="993366"/>
          </w:tcPr>
          <w:p w14:paraId="2AA41CC6" w14:textId="676E6360" w:rsidR="0088447B" w:rsidRPr="0088447B" w:rsidRDefault="0088447B" w:rsidP="0088447B">
            <w:pPr>
              <w:jc w:val="center"/>
              <w:rPr>
                <w:b/>
                <w:bCs/>
              </w:rPr>
            </w:pPr>
            <w:r w:rsidRPr="0088447B">
              <w:rPr>
                <w:b/>
                <w:bCs/>
              </w:rPr>
              <w:t>MAE</w:t>
            </w:r>
          </w:p>
        </w:tc>
        <w:tc>
          <w:tcPr>
            <w:tcW w:w="1699" w:type="dxa"/>
            <w:shd w:val="clear" w:color="auto" w:fill="993366"/>
          </w:tcPr>
          <w:p w14:paraId="74F09DD6" w14:textId="1743D76A" w:rsidR="0088447B" w:rsidRPr="0088447B" w:rsidRDefault="0088447B" w:rsidP="0088447B">
            <w:pPr>
              <w:jc w:val="center"/>
              <w:rPr>
                <w:b/>
                <w:bCs/>
              </w:rPr>
            </w:pPr>
            <w:r w:rsidRPr="0088447B">
              <w:rPr>
                <w:b/>
                <w:bCs/>
              </w:rPr>
              <w:t>MAPE</w:t>
            </w:r>
          </w:p>
        </w:tc>
      </w:tr>
      <w:tr w:rsidR="0088447B" w14:paraId="180749EA" w14:textId="77777777" w:rsidTr="0088447B">
        <w:tc>
          <w:tcPr>
            <w:tcW w:w="1698" w:type="dxa"/>
            <w:shd w:val="clear" w:color="auto" w:fill="993366"/>
          </w:tcPr>
          <w:p w14:paraId="3FDF8AA2" w14:textId="2C302050" w:rsidR="0088447B" w:rsidRPr="0088447B" w:rsidRDefault="0088447B" w:rsidP="0088447B">
            <w:pPr>
              <w:jc w:val="center"/>
              <w:rPr>
                <w:b/>
                <w:bCs/>
                <w:color w:val="FFFFFF" w:themeColor="background1"/>
              </w:rPr>
            </w:pPr>
            <w:r w:rsidRPr="0088447B">
              <w:rPr>
                <w:b/>
                <w:bCs/>
                <w:color w:val="FFFFFF" w:themeColor="background1"/>
              </w:rPr>
              <w:t>AutoARIMA</w:t>
            </w:r>
          </w:p>
        </w:tc>
        <w:tc>
          <w:tcPr>
            <w:tcW w:w="1699" w:type="dxa"/>
          </w:tcPr>
          <w:p w14:paraId="7DD64682" w14:textId="65FC7473" w:rsidR="0088447B" w:rsidRDefault="0088447B" w:rsidP="0077493C">
            <w:r w:rsidRPr="0088447B">
              <w:t xml:space="preserve">0.2302543 </w:t>
            </w:r>
          </w:p>
        </w:tc>
        <w:tc>
          <w:tcPr>
            <w:tcW w:w="1699" w:type="dxa"/>
          </w:tcPr>
          <w:p w14:paraId="69C7E590" w14:textId="77777777" w:rsidR="0088447B" w:rsidRPr="0088447B" w:rsidRDefault="0088447B" w:rsidP="0088447B">
            <w:r w:rsidRPr="0088447B">
              <w:t xml:space="preserve">0.7874101 </w:t>
            </w:r>
          </w:p>
          <w:p w14:paraId="205BEB61" w14:textId="77777777" w:rsidR="0088447B" w:rsidRDefault="0088447B" w:rsidP="0077493C"/>
        </w:tc>
        <w:tc>
          <w:tcPr>
            <w:tcW w:w="1699" w:type="dxa"/>
          </w:tcPr>
          <w:p w14:paraId="06911B99" w14:textId="77777777" w:rsidR="0088447B" w:rsidRPr="0088447B" w:rsidRDefault="0088447B" w:rsidP="0088447B">
            <w:r w:rsidRPr="0088447B">
              <w:t xml:space="preserve">0.5962474 </w:t>
            </w:r>
          </w:p>
          <w:p w14:paraId="0161AF59" w14:textId="77777777" w:rsidR="0088447B" w:rsidRDefault="0088447B" w:rsidP="0077493C"/>
        </w:tc>
        <w:tc>
          <w:tcPr>
            <w:tcW w:w="1699" w:type="dxa"/>
          </w:tcPr>
          <w:p w14:paraId="61856FB7" w14:textId="77777777" w:rsidR="0088447B" w:rsidRPr="0088447B" w:rsidRDefault="0088447B" w:rsidP="0088447B">
            <w:pPr>
              <w:jc w:val="center"/>
            </w:pPr>
            <w:r w:rsidRPr="0088447B">
              <w:t>0.4993937</w:t>
            </w:r>
          </w:p>
          <w:p w14:paraId="1B90AB45" w14:textId="77777777" w:rsidR="0088447B" w:rsidRDefault="0088447B" w:rsidP="0088447B">
            <w:pPr>
              <w:jc w:val="center"/>
            </w:pPr>
          </w:p>
        </w:tc>
      </w:tr>
      <w:tr w:rsidR="0088447B" w14:paraId="0D798FCA" w14:textId="77777777" w:rsidTr="0088447B">
        <w:tc>
          <w:tcPr>
            <w:tcW w:w="1698" w:type="dxa"/>
            <w:shd w:val="clear" w:color="auto" w:fill="993366"/>
          </w:tcPr>
          <w:p w14:paraId="6AAB5ECC" w14:textId="75F7A694" w:rsidR="0088447B" w:rsidRPr="0088447B" w:rsidRDefault="0088447B" w:rsidP="0088447B">
            <w:pPr>
              <w:jc w:val="center"/>
              <w:rPr>
                <w:b/>
                <w:bCs/>
                <w:color w:val="FFFFFF" w:themeColor="background1"/>
              </w:rPr>
            </w:pPr>
            <w:r w:rsidRPr="0088447B">
              <w:rPr>
                <w:b/>
                <w:bCs/>
                <w:color w:val="FFFFFF" w:themeColor="background1"/>
              </w:rPr>
              <w:t>ARIMA</w:t>
            </w:r>
          </w:p>
        </w:tc>
        <w:tc>
          <w:tcPr>
            <w:tcW w:w="1699" w:type="dxa"/>
          </w:tcPr>
          <w:p w14:paraId="5FE449E3" w14:textId="77777777" w:rsidR="0088447B" w:rsidRPr="0088447B" w:rsidRDefault="0088447B" w:rsidP="0088447B">
            <w:r w:rsidRPr="0088447B">
              <w:t xml:space="preserve">0.2882195 </w:t>
            </w:r>
          </w:p>
          <w:p w14:paraId="4B60B6ED" w14:textId="77777777" w:rsidR="0088447B" w:rsidRDefault="0088447B" w:rsidP="0077493C"/>
        </w:tc>
        <w:tc>
          <w:tcPr>
            <w:tcW w:w="1699" w:type="dxa"/>
          </w:tcPr>
          <w:p w14:paraId="0FC7570D" w14:textId="77777777" w:rsidR="0088447B" w:rsidRPr="0088447B" w:rsidRDefault="0088447B" w:rsidP="0088447B">
            <w:pPr>
              <w:jc w:val="center"/>
            </w:pPr>
            <w:r w:rsidRPr="0088447B">
              <w:t xml:space="preserve">0.8083731 </w:t>
            </w:r>
          </w:p>
          <w:p w14:paraId="5856792A" w14:textId="77777777" w:rsidR="0088447B" w:rsidRDefault="0088447B" w:rsidP="0088447B">
            <w:pPr>
              <w:jc w:val="center"/>
            </w:pPr>
          </w:p>
        </w:tc>
        <w:tc>
          <w:tcPr>
            <w:tcW w:w="1699" w:type="dxa"/>
          </w:tcPr>
          <w:p w14:paraId="70585F01" w14:textId="77777777" w:rsidR="0088447B" w:rsidRPr="0088447B" w:rsidRDefault="0088447B" w:rsidP="0088447B">
            <w:pPr>
              <w:jc w:val="center"/>
            </w:pPr>
            <w:r w:rsidRPr="0088447B">
              <w:t xml:space="preserve">0.5982361 </w:t>
            </w:r>
          </w:p>
          <w:p w14:paraId="08731CA6" w14:textId="77777777" w:rsidR="0088447B" w:rsidRDefault="0088447B" w:rsidP="0088447B">
            <w:pPr>
              <w:jc w:val="center"/>
            </w:pPr>
          </w:p>
        </w:tc>
        <w:tc>
          <w:tcPr>
            <w:tcW w:w="1699" w:type="dxa"/>
          </w:tcPr>
          <w:p w14:paraId="222AB445" w14:textId="77777777" w:rsidR="0088447B" w:rsidRPr="0088447B" w:rsidRDefault="0088447B" w:rsidP="0088447B">
            <w:pPr>
              <w:jc w:val="center"/>
            </w:pPr>
            <w:r w:rsidRPr="0088447B">
              <w:t>0.5004915</w:t>
            </w:r>
          </w:p>
          <w:p w14:paraId="431EBE5B" w14:textId="77777777" w:rsidR="0088447B" w:rsidRDefault="0088447B" w:rsidP="0088447B">
            <w:pPr>
              <w:jc w:val="center"/>
            </w:pPr>
          </w:p>
        </w:tc>
      </w:tr>
      <w:tr w:rsidR="0088447B" w14:paraId="327ACB46" w14:textId="77777777" w:rsidTr="0088447B">
        <w:tc>
          <w:tcPr>
            <w:tcW w:w="1698" w:type="dxa"/>
            <w:shd w:val="clear" w:color="auto" w:fill="993366"/>
          </w:tcPr>
          <w:p w14:paraId="0B8DECFC" w14:textId="104A3FEE" w:rsidR="0088447B" w:rsidRPr="0088447B" w:rsidRDefault="0088447B" w:rsidP="0088447B">
            <w:pPr>
              <w:jc w:val="center"/>
              <w:rPr>
                <w:b/>
                <w:bCs/>
                <w:color w:val="FFFFFF" w:themeColor="background1"/>
              </w:rPr>
            </w:pPr>
            <w:r w:rsidRPr="0088447B">
              <w:rPr>
                <w:b/>
                <w:bCs/>
                <w:color w:val="FFFFFF" w:themeColor="background1"/>
              </w:rPr>
              <w:t>SARIMA</w:t>
            </w:r>
          </w:p>
        </w:tc>
        <w:tc>
          <w:tcPr>
            <w:tcW w:w="1699" w:type="dxa"/>
          </w:tcPr>
          <w:p w14:paraId="74237D29" w14:textId="77777777" w:rsidR="0088447B" w:rsidRPr="0088447B" w:rsidRDefault="0088447B" w:rsidP="0088447B">
            <w:pPr>
              <w:tabs>
                <w:tab w:val="left" w:pos="1203"/>
              </w:tabs>
            </w:pPr>
            <w:r>
              <w:tab/>
            </w:r>
            <w:r w:rsidRPr="0088447B">
              <w:t xml:space="preserve">0.2904238 </w:t>
            </w:r>
          </w:p>
          <w:p w14:paraId="5EC946A7" w14:textId="108578D2" w:rsidR="0088447B" w:rsidRDefault="0088447B" w:rsidP="0088447B">
            <w:pPr>
              <w:tabs>
                <w:tab w:val="left" w:pos="1203"/>
              </w:tabs>
            </w:pPr>
          </w:p>
        </w:tc>
        <w:tc>
          <w:tcPr>
            <w:tcW w:w="1699" w:type="dxa"/>
          </w:tcPr>
          <w:p w14:paraId="1779CF5A" w14:textId="77777777" w:rsidR="0088447B" w:rsidRPr="0088447B" w:rsidRDefault="0088447B" w:rsidP="0088447B">
            <w:r w:rsidRPr="0088447B">
              <w:t xml:space="preserve">0.8084165 </w:t>
            </w:r>
          </w:p>
          <w:p w14:paraId="6AA85CF7" w14:textId="77777777" w:rsidR="0088447B" w:rsidRDefault="0088447B" w:rsidP="0077493C"/>
        </w:tc>
        <w:tc>
          <w:tcPr>
            <w:tcW w:w="1699" w:type="dxa"/>
          </w:tcPr>
          <w:p w14:paraId="608E00DB" w14:textId="77777777" w:rsidR="0088447B" w:rsidRPr="0088447B" w:rsidRDefault="0088447B" w:rsidP="0088447B">
            <w:r w:rsidRPr="0088447B">
              <w:t xml:space="preserve">0.5975839 </w:t>
            </w:r>
          </w:p>
          <w:p w14:paraId="580369F0" w14:textId="77777777" w:rsidR="0088447B" w:rsidRDefault="0088447B" w:rsidP="0077493C"/>
        </w:tc>
        <w:tc>
          <w:tcPr>
            <w:tcW w:w="1699" w:type="dxa"/>
          </w:tcPr>
          <w:p w14:paraId="33DDF816" w14:textId="77777777" w:rsidR="0088447B" w:rsidRPr="0088447B" w:rsidRDefault="0088447B" w:rsidP="0088447B">
            <w:r w:rsidRPr="0088447B">
              <w:t>0.4999148</w:t>
            </w:r>
          </w:p>
          <w:p w14:paraId="1603FFD8" w14:textId="77777777" w:rsidR="0088447B" w:rsidRDefault="0088447B" w:rsidP="0077493C"/>
        </w:tc>
      </w:tr>
    </w:tbl>
    <w:p w14:paraId="05571ACE" w14:textId="22B0475B" w:rsidR="00D653B2" w:rsidRDefault="00D653B2" w:rsidP="0077493C">
      <w:r>
        <w:t xml:space="preserve"> </w:t>
      </w:r>
    </w:p>
    <w:p w14:paraId="07B60F2C" w14:textId="77777777" w:rsidR="00D653B2" w:rsidRDefault="00D653B2" w:rsidP="0077493C"/>
    <w:p w14:paraId="75C90C3A" w14:textId="77777777" w:rsidR="00D653B2" w:rsidRDefault="00D653B2" w:rsidP="0077493C"/>
    <w:p w14:paraId="4449AC69" w14:textId="0B40A208" w:rsidR="001F0B7E" w:rsidRDefault="001F0B7E" w:rsidP="0077493C">
      <w:r>
        <w:t xml:space="preserve">Se continuo con </w:t>
      </w:r>
      <w:proofErr w:type="gramStart"/>
      <w:r>
        <w:t>las predicción</w:t>
      </w:r>
      <w:proofErr w:type="gramEnd"/>
      <w:r>
        <w:t xml:space="preserve"> para los </w:t>
      </w:r>
      <w:proofErr w:type="spellStart"/>
      <w:r>
        <w:t>conjutos</w:t>
      </w:r>
      <w:proofErr w:type="spellEnd"/>
      <w:r>
        <w:t xml:space="preserve"> de prueba con </w:t>
      </w:r>
      <w:proofErr w:type="spellStart"/>
      <w:proofErr w:type="gramStart"/>
      <w:r>
        <w:t>al</w:t>
      </w:r>
      <w:proofErr w:type="spellEnd"/>
      <w:r>
        <w:t xml:space="preserve"> función</w:t>
      </w:r>
      <w:proofErr w:type="gramEnd"/>
      <w:r>
        <w:t xml:space="preserve"> </w:t>
      </w:r>
      <w:proofErr w:type="spellStart"/>
      <w:r>
        <w:t>forecast</w:t>
      </w:r>
      <w:proofErr w:type="spellEnd"/>
      <w:r>
        <w:t xml:space="preserve"> con un h de la longitud </w:t>
      </w:r>
      <w:proofErr w:type="gramStart"/>
      <w:r>
        <w:t>de test</w:t>
      </w:r>
      <w:proofErr w:type="gramEnd"/>
      <w:r>
        <w:t xml:space="preserve"> de </w:t>
      </w:r>
      <w:proofErr w:type="spellStart"/>
      <w:r>
        <w:t>ipc</w:t>
      </w:r>
      <w:proofErr w:type="spellEnd"/>
      <w:r>
        <w:t xml:space="preserve"> y test </w:t>
      </w:r>
      <w:proofErr w:type="spellStart"/>
      <w:r>
        <w:t>pib</w:t>
      </w:r>
      <w:proofErr w:type="spellEnd"/>
      <w:r>
        <w:t xml:space="preserve">. Se </w:t>
      </w:r>
      <w:proofErr w:type="spellStart"/>
      <w:r>
        <w:t>prodecio</w:t>
      </w:r>
      <w:proofErr w:type="spellEnd"/>
      <w:r>
        <w:t xml:space="preserve"> haciendo la </w:t>
      </w:r>
      <w:proofErr w:type="spellStart"/>
      <w:r>
        <w:t>reversion</w:t>
      </w:r>
      <w:proofErr w:type="spellEnd"/>
      <w:r>
        <w:t xml:space="preserve"> ya que esos valores del </w:t>
      </w:r>
      <w:proofErr w:type="spellStart"/>
      <w:r>
        <w:t>forecast</w:t>
      </w:r>
      <w:proofErr w:type="spellEnd"/>
      <w:r>
        <w:t xml:space="preserve"> no </w:t>
      </w:r>
      <w:proofErr w:type="spellStart"/>
      <w:r>
        <w:t>estánban</w:t>
      </w:r>
      <w:proofErr w:type="spellEnd"/>
      <w:r>
        <w:t xml:space="preserve"> en </w:t>
      </w:r>
      <w:proofErr w:type="gramStart"/>
      <w:r>
        <w:t>la mismas unidades</w:t>
      </w:r>
      <w:proofErr w:type="gramEnd"/>
      <w:r>
        <w:t xml:space="preserve"> que las de la serie original, es por ello </w:t>
      </w:r>
      <w:proofErr w:type="gramStart"/>
      <w:r>
        <w:t>que</w:t>
      </w:r>
      <w:proofErr w:type="gramEnd"/>
      <w:r>
        <w:t xml:space="preserve"> </w:t>
      </w:r>
      <w:proofErr w:type="spellStart"/>
      <w:r>
        <w:t>pa</w:t>
      </w:r>
      <w:proofErr w:type="spellEnd"/>
      <w:r>
        <w:t xml:space="preserve"> el caso del </w:t>
      </w:r>
      <w:proofErr w:type="spellStart"/>
      <w:r>
        <w:t>ipc</w:t>
      </w:r>
      <w:proofErr w:type="spellEnd"/>
      <w:r>
        <w:t xml:space="preserve"> la serie </w:t>
      </w:r>
      <w:proofErr w:type="spellStart"/>
      <w:r>
        <w:t>pa</w:t>
      </w:r>
      <w:proofErr w:type="spellEnd"/>
      <w:r>
        <w:t xml:space="preserve"> volverla </w:t>
      </w:r>
      <w:proofErr w:type="spellStart"/>
      <w:r>
        <w:t>estacioanria</w:t>
      </w:r>
      <w:proofErr w:type="spellEnd"/>
      <w:r>
        <w:t xml:space="preserve"> se revirtió una sola ves por lo que mediante </w:t>
      </w:r>
      <w:proofErr w:type="spellStart"/>
      <w:r>
        <w:t>diffinv</w:t>
      </w:r>
      <w:proofErr w:type="spellEnd"/>
      <w:r>
        <w:t xml:space="preserve"> se consiguió revertir </w:t>
      </w:r>
      <w:proofErr w:type="spellStart"/>
      <w:r>
        <w:t>consigueindo</w:t>
      </w:r>
      <w:proofErr w:type="spellEnd"/>
      <w:r>
        <w:t xml:space="preserve"> así los valores reales. En el caso del </w:t>
      </w:r>
      <w:proofErr w:type="spellStart"/>
      <w:r>
        <w:t>pib</w:t>
      </w:r>
      <w:proofErr w:type="spellEnd"/>
      <w:r>
        <w:t xml:space="preserve"> la serie necesito ser la </w:t>
      </w:r>
      <w:proofErr w:type="spellStart"/>
      <w:r>
        <w:t>vairnza</w:t>
      </w:r>
      <w:proofErr w:type="spellEnd"/>
      <w:r>
        <w:t xml:space="preserve"> </w:t>
      </w:r>
      <w:proofErr w:type="gramStart"/>
      <w:r>
        <w:t>estabilizada  y</w:t>
      </w:r>
      <w:proofErr w:type="gramEnd"/>
      <w:r>
        <w:t xml:space="preserve"> aplicarle dos diferencias con un log= 4 por que lo que la </w:t>
      </w:r>
      <w:proofErr w:type="spellStart"/>
      <w:proofErr w:type="gramStart"/>
      <w:r>
        <w:t>reversion</w:t>
      </w:r>
      <w:proofErr w:type="spellEnd"/>
      <w:r>
        <w:t>….</w:t>
      </w:r>
      <w:proofErr w:type="gramEnd"/>
      <w:r>
        <w:t xml:space="preserve">. </w:t>
      </w:r>
      <w:r w:rsidR="00D653B2">
        <w:t xml:space="preserve">una vez obtenidos todos los </w:t>
      </w:r>
      <w:proofErr w:type="spellStart"/>
      <w:r w:rsidR="00D653B2">
        <w:t>forecast</w:t>
      </w:r>
      <w:proofErr w:type="spellEnd"/>
      <w:r w:rsidR="00D653B2">
        <w:t xml:space="preserve"> de cada modelo revertidos en sus unidades originales se </w:t>
      </w:r>
      <w:proofErr w:type="spellStart"/>
      <w:r w:rsidR="00D653B2">
        <w:t>porcedio</w:t>
      </w:r>
      <w:proofErr w:type="spellEnd"/>
      <w:r w:rsidR="00D653B2">
        <w:t xml:space="preserve"> a </w:t>
      </w:r>
      <w:proofErr w:type="spellStart"/>
      <w:r w:rsidR="00D653B2">
        <w:t>comaprar</w:t>
      </w:r>
      <w:proofErr w:type="spellEnd"/>
      <w:r w:rsidR="00D653B2">
        <w:t xml:space="preserve"> el mejor modelo comparando sus </w:t>
      </w:r>
      <w:proofErr w:type="spellStart"/>
      <w:r w:rsidR="00D653B2">
        <w:t>accrucay</w:t>
      </w:r>
      <w:proofErr w:type="spellEnd"/>
    </w:p>
    <w:p w14:paraId="3F92E45B" w14:textId="77777777" w:rsidR="00094040" w:rsidRDefault="00094040" w:rsidP="0077493C"/>
    <w:p w14:paraId="5B5DD389" w14:textId="77777777" w:rsidR="00094040" w:rsidRDefault="00094040" w:rsidP="0077493C"/>
    <w:p w14:paraId="5A9D547A" w14:textId="77777777" w:rsidR="00094040" w:rsidRDefault="00094040" w:rsidP="0077493C"/>
    <w:p w14:paraId="0F2F8B18" w14:textId="77777777" w:rsidR="00094040" w:rsidRDefault="00094040" w:rsidP="0077493C"/>
    <w:p w14:paraId="153B3A59" w14:textId="77777777" w:rsidR="00094040" w:rsidRDefault="00094040" w:rsidP="0077493C"/>
    <w:p w14:paraId="7F716187" w14:textId="77777777" w:rsidR="00094040" w:rsidRDefault="00094040" w:rsidP="0077493C"/>
    <w:p w14:paraId="076A87C6" w14:textId="77777777" w:rsidR="00094040" w:rsidRDefault="00094040" w:rsidP="0077493C"/>
    <w:p w14:paraId="7611FC21" w14:textId="77777777" w:rsidR="00094040" w:rsidRDefault="00094040" w:rsidP="0077493C"/>
    <w:p w14:paraId="193FD485" w14:textId="77777777" w:rsidR="00094040" w:rsidRDefault="00094040" w:rsidP="0077493C"/>
    <w:p w14:paraId="6D92C2A6" w14:textId="77777777" w:rsidR="00094040" w:rsidRDefault="00094040" w:rsidP="0077493C"/>
    <w:p w14:paraId="32109305" w14:textId="77777777" w:rsidR="00094040" w:rsidRDefault="00094040" w:rsidP="0077493C"/>
    <w:p w14:paraId="28324E6D" w14:textId="77777777" w:rsidR="00094040" w:rsidRDefault="00094040" w:rsidP="0077493C"/>
    <w:p w14:paraId="2CA1E410" w14:textId="77777777" w:rsidR="00094040" w:rsidRDefault="00094040" w:rsidP="0077493C"/>
    <w:p w14:paraId="5CA2800F" w14:textId="77777777" w:rsidR="00094040" w:rsidRDefault="00094040" w:rsidP="0077493C"/>
    <w:p w14:paraId="6254D28F" w14:textId="77777777" w:rsidR="00094040" w:rsidRDefault="00094040" w:rsidP="0077493C"/>
    <w:p w14:paraId="13B9AB49" w14:textId="77777777" w:rsidR="00094040" w:rsidRDefault="00094040" w:rsidP="0077493C"/>
    <w:p w14:paraId="190A4D6F" w14:textId="77777777" w:rsidR="00094040" w:rsidRDefault="00094040" w:rsidP="0077493C"/>
    <w:p w14:paraId="07AE5125" w14:textId="77777777" w:rsidR="00094040" w:rsidRDefault="00094040" w:rsidP="0077493C"/>
    <w:p w14:paraId="51B74520" w14:textId="77777777" w:rsidR="00094040" w:rsidRDefault="00094040" w:rsidP="0077493C"/>
    <w:p w14:paraId="00C4C5F1" w14:textId="77777777" w:rsidR="00094040" w:rsidRDefault="00094040" w:rsidP="0077493C"/>
    <w:p w14:paraId="14E5020C" w14:textId="77777777" w:rsidR="00094040" w:rsidRDefault="00094040" w:rsidP="0077493C"/>
    <w:p w14:paraId="112D0A7A" w14:textId="77777777" w:rsidR="00094040" w:rsidRDefault="00094040" w:rsidP="0077493C"/>
    <w:p w14:paraId="44FE13B8" w14:textId="77777777" w:rsidR="00094040" w:rsidRPr="0077493C" w:rsidRDefault="00094040" w:rsidP="0077493C"/>
    <w:p w14:paraId="7A0B63F3" w14:textId="0643A201" w:rsidR="00FA437F" w:rsidRDefault="00FA437F"/>
    <w:p w14:paraId="79C4A0CA" w14:textId="0CD729D7" w:rsidR="002D12BD" w:rsidRPr="00746660" w:rsidRDefault="002D12BD" w:rsidP="002D12BD">
      <w:pPr>
        <w:pStyle w:val="Ttulo3"/>
        <w:rPr>
          <w:color w:val="000000" w:themeColor="text1"/>
        </w:rPr>
      </w:pPr>
      <w:r w:rsidRPr="00746660">
        <w:rPr>
          <w:color w:val="000000" w:themeColor="text1"/>
        </w:rPr>
        <w:t>Conclusiones</w:t>
      </w:r>
    </w:p>
    <w:p w14:paraId="0B2050E0" w14:textId="11942F5E" w:rsidR="006B262D" w:rsidRPr="00C77F6C" w:rsidRDefault="002D12BD">
      <w:pPr>
        <w:rPr>
          <w:i/>
          <w:iCs/>
          <w:color w:val="AEAAAA" w:themeColor="background2" w:themeShade="BF"/>
        </w:rPr>
      </w:pPr>
      <w:r w:rsidRPr="00C77F6C">
        <w:rPr>
          <w:i/>
          <w:iCs/>
          <w:color w:val="AEAAAA" w:themeColor="background2" w:themeShade="BF"/>
        </w:rPr>
        <w:t>En un par de párrafos o tres resumir qué se concluye de todo el análisis y modelos de los datos</w:t>
      </w:r>
      <w:r w:rsidR="00654D6A" w:rsidRPr="00C77F6C">
        <w:rPr>
          <w:i/>
          <w:iCs/>
          <w:color w:val="AEAAAA" w:themeColor="background2" w:themeShade="BF"/>
        </w:rPr>
        <w:t>.</w:t>
      </w:r>
    </w:p>
    <w:p w14:paraId="17F35D20" w14:textId="77777777" w:rsidR="00FA437F" w:rsidRPr="00FA437F" w:rsidRDefault="00FA437F" w:rsidP="00FA437F"/>
    <w:p w14:paraId="21E7FD88" w14:textId="77777777" w:rsidR="004458EE" w:rsidRPr="004458EE" w:rsidRDefault="005035F3" w:rsidP="00A01530">
      <w:pPr>
        <w:pStyle w:val="Ttulo2"/>
        <w:rPr>
          <w:bCs/>
          <w:i/>
          <w:iCs/>
        </w:rPr>
      </w:pPr>
      <w:r>
        <w:t>Transformar los negocios</w:t>
      </w:r>
      <w:r w:rsidR="0013720E">
        <w:t xml:space="preserve"> </w:t>
      </w:r>
    </w:p>
    <w:p w14:paraId="457454B8" w14:textId="29F9F56E" w:rsidR="005035F3" w:rsidRDefault="005035F3" w:rsidP="005035F3"/>
    <w:p w14:paraId="17941F2B" w14:textId="7B6A25C7" w:rsidR="00336769" w:rsidRDefault="00336769" w:rsidP="00336769">
      <w:pPr>
        <w:pStyle w:val="Ttulo2"/>
      </w:pPr>
      <w:r>
        <w:t>Implicaciones legales y éticas</w:t>
      </w:r>
    </w:p>
    <w:p w14:paraId="323849B7" w14:textId="3FB9B398" w:rsidR="008030B9" w:rsidRDefault="00B42C77" w:rsidP="008030B9">
      <w:r>
        <w:t xml:space="preserve">En un entorno donde </w:t>
      </w:r>
      <w:r w:rsidRPr="00452FBA">
        <w:rPr>
          <w:b/>
          <w:bCs/>
        </w:rPr>
        <w:t>cada vez más decisiones se toman mediante el uso de algoritmos y modelos predictivos</w:t>
      </w:r>
      <w:r>
        <w:t xml:space="preserve">, los </w:t>
      </w:r>
      <w:r w:rsidRPr="0083113E">
        <w:rPr>
          <w:b/>
          <w:bCs/>
        </w:rPr>
        <w:t>aspectos éticos adquieren una relevancia fundamental</w:t>
      </w:r>
      <w:r>
        <w:t>.</w:t>
      </w:r>
    </w:p>
    <w:p w14:paraId="65716341" w14:textId="3B170CBE" w:rsidR="008030B9" w:rsidRPr="008030B9" w:rsidRDefault="008030B9" w:rsidP="008030B9"/>
    <w:p w14:paraId="71CB6256" w14:textId="7CE9D581" w:rsidR="006B262D" w:rsidRDefault="006B262D"/>
    <w:p w14:paraId="19ACA756" w14:textId="7E50BA79" w:rsidR="00654D6A" w:rsidRPr="008030B9" w:rsidRDefault="00654D6A" w:rsidP="00654D6A">
      <w:pPr>
        <w:pStyle w:val="Ttulo2"/>
        <w:numPr>
          <w:ilvl w:val="0"/>
          <w:numId w:val="0"/>
        </w:numPr>
        <w:rPr>
          <w:color w:val="000000" w:themeColor="text1"/>
        </w:rPr>
      </w:pPr>
      <w:r w:rsidRPr="008030B9">
        <w:rPr>
          <w:color w:val="000000" w:themeColor="text1"/>
        </w:rPr>
        <w:t>Bibliografía</w:t>
      </w:r>
    </w:p>
    <w:p w14:paraId="7A0EB1E9" w14:textId="20CC1E86" w:rsidR="008030B9" w:rsidRDefault="008030B9" w:rsidP="008030B9"/>
    <w:p w14:paraId="51BBBD4A" w14:textId="5F43DDA7" w:rsidR="008030B9" w:rsidRPr="00B52D4E" w:rsidRDefault="008030B9" w:rsidP="008030B9">
      <w:pPr>
        <w:pStyle w:val="Ttulo2"/>
        <w:numPr>
          <w:ilvl w:val="0"/>
          <w:numId w:val="0"/>
        </w:numPr>
      </w:pPr>
      <w:r w:rsidRPr="00B52D4E">
        <w:t>Apéndice</w:t>
      </w:r>
      <w:r w:rsidR="00B8481B">
        <w:t xml:space="preserve"> I</w:t>
      </w:r>
    </w:p>
    <w:p w14:paraId="7731EC7B" w14:textId="499B4395" w:rsidR="008030B9" w:rsidRDefault="008030B9" w:rsidP="008030B9">
      <w:pPr>
        <w:rPr>
          <w:i/>
          <w:iCs/>
          <w:color w:val="AEAAAA" w:themeColor="background2" w:themeShade="BF"/>
        </w:rPr>
      </w:pPr>
      <w:r w:rsidRPr="00B52D4E">
        <w:rPr>
          <w:i/>
          <w:iCs/>
          <w:color w:val="AEAAAA" w:themeColor="background2" w:themeShade="BF"/>
        </w:rPr>
        <w:t>Desarrollo matemático. Se os darán instrucciones concretas en las clases de la materia</w:t>
      </w:r>
      <w:r w:rsidR="00025A1E" w:rsidRPr="00B52D4E">
        <w:rPr>
          <w:i/>
          <w:iCs/>
          <w:color w:val="AEAAAA" w:themeColor="background2" w:themeShade="BF"/>
        </w:rPr>
        <w:t xml:space="preserve"> </w:t>
      </w:r>
      <w:r w:rsidRPr="00B52D4E">
        <w:rPr>
          <w:i/>
          <w:iCs/>
          <w:color w:val="AEAAAA" w:themeColor="background2" w:themeShade="BF"/>
        </w:rPr>
        <w:t>“Fundamentos matemáticos y estadísticos”</w:t>
      </w:r>
    </w:p>
    <w:p w14:paraId="647C84E4" w14:textId="18030FE6" w:rsidR="00B8481B" w:rsidRDefault="00B8481B" w:rsidP="008030B9">
      <w:pPr>
        <w:rPr>
          <w:i/>
          <w:iCs/>
          <w:color w:val="AEAAAA" w:themeColor="background2" w:themeShade="BF"/>
        </w:rPr>
      </w:pPr>
    </w:p>
    <w:p w14:paraId="61C8C44F" w14:textId="5A66BE98" w:rsidR="00B8481B" w:rsidRPr="005A7991" w:rsidRDefault="00B8481B" w:rsidP="00B8481B">
      <w:pPr>
        <w:pStyle w:val="Ttulo2"/>
        <w:numPr>
          <w:ilvl w:val="0"/>
          <w:numId w:val="0"/>
        </w:numPr>
      </w:pPr>
      <w:r w:rsidRPr="005A7991">
        <w:t>Apéndice II</w:t>
      </w:r>
    </w:p>
    <w:p w14:paraId="32AAB572" w14:textId="2D0264DD" w:rsidR="00B8481B" w:rsidRDefault="00B8481B" w:rsidP="00B8481B">
      <w:pPr>
        <w:rPr>
          <w:i/>
          <w:iCs/>
          <w:color w:val="AEAAAA" w:themeColor="background2" w:themeShade="BF"/>
        </w:rPr>
      </w:pPr>
      <w:r w:rsidRPr="00B8481B">
        <w:rPr>
          <w:i/>
          <w:iCs/>
          <w:color w:val="AEAAAA" w:themeColor="background2" w:themeShade="BF"/>
        </w:rPr>
        <w:t>Big Data. Breve de explicación de los pasos realizados para la creación de la máquina virtual.</w:t>
      </w:r>
    </w:p>
    <w:p w14:paraId="1A7B3AD8" w14:textId="77777777" w:rsidR="0077493C" w:rsidRDefault="0077493C" w:rsidP="00B8481B">
      <w:pPr>
        <w:rPr>
          <w:i/>
          <w:iCs/>
          <w:color w:val="AEAAAA" w:themeColor="background2" w:themeShade="BF"/>
        </w:rPr>
      </w:pPr>
    </w:p>
    <w:p w14:paraId="36BFA00B" w14:textId="77777777" w:rsidR="0077493C" w:rsidRDefault="0077493C" w:rsidP="00B8481B">
      <w:pPr>
        <w:rPr>
          <w:i/>
          <w:iCs/>
          <w:color w:val="AEAAAA" w:themeColor="background2" w:themeShade="BF"/>
        </w:rPr>
      </w:pPr>
    </w:p>
    <w:p w14:paraId="696462FE" w14:textId="77777777" w:rsidR="0077493C" w:rsidRDefault="0077493C" w:rsidP="00B8481B">
      <w:pPr>
        <w:rPr>
          <w:i/>
          <w:iCs/>
          <w:color w:val="AEAAAA" w:themeColor="background2" w:themeShade="BF"/>
        </w:rPr>
      </w:pPr>
    </w:p>
    <w:p w14:paraId="09AA2DD8" w14:textId="4C7B377D" w:rsidR="0077493C" w:rsidRPr="0077493C" w:rsidRDefault="0077493C" w:rsidP="00B8481B">
      <w:r>
        <w:t>ANEXO DATA MINING</w:t>
      </w:r>
    </w:p>
    <w:p w14:paraId="4885A1B4" w14:textId="77777777" w:rsidR="00B8481B" w:rsidRPr="00B8481B" w:rsidRDefault="00B8481B" w:rsidP="008030B9">
      <w:pPr>
        <w:rPr>
          <w:i/>
          <w:iCs/>
          <w:color w:val="AEAAAA" w:themeColor="background2" w:themeShade="BF"/>
        </w:rPr>
      </w:pPr>
    </w:p>
    <w:p w14:paraId="31B0A416" w14:textId="77777777" w:rsidR="00654D6A" w:rsidRPr="00B8481B" w:rsidRDefault="00654D6A"/>
    <w:sectPr w:rsidR="00654D6A" w:rsidRPr="00B8481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8C6DB" w14:textId="77777777" w:rsidR="00405BBF" w:rsidRDefault="00405BBF" w:rsidP="00DA1675">
      <w:pPr>
        <w:spacing w:before="0" w:after="0" w:line="240" w:lineRule="auto"/>
      </w:pPr>
      <w:r>
        <w:separator/>
      </w:r>
    </w:p>
  </w:endnote>
  <w:endnote w:type="continuationSeparator" w:id="0">
    <w:p w14:paraId="22162D33" w14:textId="77777777" w:rsidR="00405BBF" w:rsidRDefault="00405BBF" w:rsidP="00DA16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8D665" w14:textId="77777777" w:rsidR="008E505E" w:rsidRPr="00DA1675" w:rsidRDefault="008E505E" w:rsidP="00DA1675">
    <w:pPr>
      <w:pStyle w:val="Piedepgina"/>
      <w:jc w:val="center"/>
      <w:rPr>
        <w:sz w:val="18"/>
        <w:szCs w:val="18"/>
      </w:rPr>
    </w:pPr>
    <w:r w:rsidRPr="00DA1675">
      <w:rPr>
        <w:sz w:val="18"/>
        <w:szCs w:val="18"/>
      </w:rPr>
      <w:fldChar w:fldCharType="begin"/>
    </w:r>
    <w:r w:rsidRPr="00DA1675">
      <w:rPr>
        <w:sz w:val="18"/>
        <w:szCs w:val="18"/>
      </w:rPr>
      <w:instrText>PAGE   \* MERGEFORMAT</w:instrText>
    </w:r>
    <w:r w:rsidRPr="00DA1675">
      <w:rPr>
        <w:sz w:val="18"/>
        <w:szCs w:val="18"/>
      </w:rPr>
      <w:fldChar w:fldCharType="separate"/>
    </w:r>
    <w:r w:rsidRPr="00DA1675">
      <w:rPr>
        <w:sz w:val="18"/>
        <w:szCs w:val="18"/>
      </w:rPr>
      <w:t>1</w:t>
    </w:r>
    <w:r w:rsidRPr="00DA1675">
      <w:rPr>
        <w:sz w:val="18"/>
        <w:szCs w:val="18"/>
      </w:rPr>
      <w:fldChar w:fldCharType="end"/>
    </w:r>
    <w:r w:rsidRPr="00DA1675">
      <w:rPr>
        <w:sz w:val="18"/>
        <w:szCs w:val="18"/>
      </w:rPr>
      <w:t xml:space="preserve"> de </w:t>
    </w:r>
    <w:r w:rsidRPr="00DA1675">
      <w:rPr>
        <w:sz w:val="18"/>
        <w:szCs w:val="18"/>
      </w:rPr>
      <w:fldChar w:fldCharType="begin"/>
    </w:r>
    <w:r w:rsidRPr="00DA1675">
      <w:rPr>
        <w:sz w:val="18"/>
        <w:szCs w:val="18"/>
      </w:rPr>
      <w:instrText xml:space="preserve"> NUMPAGES   \* MERGEFORMAT </w:instrText>
    </w:r>
    <w:r w:rsidRPr="00DA1675">
      <w:rPr>
        <w:sz w:val="18"/>
        <w:szCs w:val="18"/>
      </w:rPr>
      <w:fldChar w:fldCharType="separate"/>
    </w:r>
    <w:r w:rsidRPr="00DA1675">
      <w:rPr>
        <w:noProof/>
        <w:sz w:val="18"/>
        <w:szCs w:val="18"/>
      </w:rPr>
      <w:t>2</w:t>
    </w:r>
    <w:r w:rsidRPr="00DA1675">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C71B1" w14:textId="77777777" w:rsidR="00405BBF" w:rsidRDefault="00405BBF" w:rsidP="00DA1675">
      <w:pPr>
        <w:spacing w:before="0" w:after="0" w:line="240" w:lineRule="auto"/>
      </w:pPr>
      <w:r>
        <w:separator/>
      </w:r>
    </w:p>
  </w:footnote>
  <w:footnote w:type="continuationSeparator" w:id="0">
    <w:p w14:paraId="75581AAC" w14:textId="77777777" w:rsidR="00405BBF" w:rsidRDefault="00405BBF" w:rsidP="00DA16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34249" w14:textId="77777777" w:rsidR="008E505E" w:rsidRDefault="008E505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B58A6"/>
    <w:multiLevelType w:val="hybridMultilevel"/>
    <w:tmpl w:val="4D9A7B9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F90E9A"/>
    <w:multiLevelType w:val="hybridMultilevel"/>
    <w:tmpl w:val="C5CEE57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90384C"/>
    <w:multiLevelType w:val="hybridMultilevel"/>
    <w:tmpl w:val="41A4C312"/>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1A3CCA"/>
    <w:multiLevelType w:val="hybridMultilevel"/>
    <w:tmpl w:val="BBDEC0C4"/>
    <w:lvl w:ilvl="0" w:tplc="2FF2A7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547326"/>
    <w:multiLevelType w:val="hybridMultilevel"/>
    <w:tmpl w:val="975408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5A2D5E"/>
    <w:multiLevelType w:val="hybridMultilevel"/>
    <w:tmpl w:val="59D4848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8469F3"/>
    <w:multiLevelType w:val="multilevel"/>
    <w:tmpl w:val="C818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56DF3"/>
    <w:multiLevelType w:val="multilevel"/>
    <w:tmpl w:val="147664FE"/>
    <w:lvl w:ilvl="0">
      <w:start w:val="1"/>
      <w:numFmt w:val="none"/>
      <w:pStyle w:val="Ttulo1"/>
      <w:lvlText w:val=""/>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2.%3"/>
      <w:lvlJc w:val="left"/>
      <w:pPr>
        <w:ind w:left="720" w:hanging="720"/>
      </w:pPr>
      <w:rPr>
        <w:rFonts w:hint="default"/>
      </w:rPr>
    </w:lvl>
    <w:lvl w:ilvl="3">
      <w:start w:val="1"/>
      <w:numFmt w:val="decimal"/>
      <w:pStyle w:val="Ttulo4"/>
      <w:lvlText w:val="%2.%3.%4"/>
      <w:lvlJc w:val="left"/>
      <w:pPr>
        <w:ind w:left="864" w:hanging="864"/>
      </w:pPr>
      <w:rPr>
        <w:rFonts w:hint="default"/>
      </w:rPr>
    </w:lvl>
    <w:lvl w:ilvl="4">
      <w:start w:val="1"/>
      <w:numFmt w:val="decimal"/>
      <w:pStyle w:val="Ttulo5"/>
      <w:lvlText w:val="%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7C1054F6"/>
    <w:multiLevelType w:val="hybridMultilevel"/>
    <w:tmpl w:val="3B5A421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96769770">
    <w:abstractNumId w:val="1"/>
  </w:num>
  <w:num w:numId="2" w16cid:durableId="169493726">
    <w:abstractNumId w:val="0"/>
  </w:num>
  <w:num w:numId="3" w16cid:durableId="846671537">
    <w:abstractNumId w:val="5"/>
  </w:num>
  <w:num w:numId="4" w16cid:durableId="1295212826">
    <w:abstractNumId w:val="8"/>
  </w:num>
  <w:num w:numId="5" w16cid:durableId="252470333">
    <w:abstractNumId w:val="3"/>
  </w:num>
  <w:num w:numId="6" w16cid:durableId="1936085401">
    <w:abstractNumId w:val="7"/>
  </w:num>
  <w:num w:numId="7" w16cid:durableId="1321036717">
    <w:abstractNumId w:val="7"/>
  </w:num>
  <w:num w:numId="8" w16cid:durableId="1937981127">
    <w:abstractNumId w:val="7"/>
  </w:num>
  <w:num w:numId="9" w16cid:durableId="1133213461">
    <w:abstractNumId w:val="7"/>
  </w:num>
  <w:num w:numId="10" w16cid:durableId="1768621754">
    <w:abstractNumId w:val="7"/>
  </w:num>
  <w:num w:numId="11" w16cid:durableId="9573910">
    <w:abstractNumId w:val="7"/>
  </w:num>
  <w:num w:numId="12" w16cid:durableId="1830294036">
    <w:abstractNumId w:val="4"/>
  </w:num>
  <w:num w:numId="13" w16cid:durableId="458645483">
    <w:abstractNumId w:val="6"/>
  </w:num>
  <w:num w:numId="14" w16cid:durableId="2048597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yNLE0MTQ2MbQ0MzZS0lEKTi0uzszPAykwrAUASPF7nCwAAAA="/>
  </w:docVars>
  <w:rsids>
    <w:rsidRoot w:val="00EC75BE"/>
    <w:rsid w:val="00004C71"/>
    <w:rsid w:val="00007666"/>
    <w:rsid w:val="00025A1E"/>
    <w:rsid w:val="00050519"/>
    <w:rsid w:val="00091BF0"/>
    <w:rsid w:val="00094040"/>
    <w:rsid w:val="000A3F06"/>
    <w:rsid w:val="000F3263"/>
    <w:rsid w:val="0013720E"/>
    <w:rsid w:val="00146474"/>
    <w:rsid w:val="0015632C"/>
    <w:rsid w:val="00160C4A"/>
    <w:rsid w:val="0016790F"/>
    <w:rsid w:val="0017352A"/>
    <w:rsid w:val="001806E9"/>
    <w:rsid w:val="001938B6"/>
    <w:rsid w:val="00194A99"/>
    <w:rsid w:val="001A4101"/>
    <w:rsid w:val="001F0B7E"/>
    <w:rsid w:val="001F5D99"/>
    <w:rsid w:val="00207C5A"/>
    <w:rsid w:val="00220F6C"/>
    <w:rsid w:val="0023100E"/>
    <w:rsid w:val="0023165D"/>
    <w:rsid w:val="0023379D"/>
    <w:rsid w:val="00234A77"/>
    <w:rsid w:val="002425FB"/>
    <w:rsid w:val="00252217"/>
    <w:rsid w:val="002569BC"/>
    <w:rsid w:val="00271A70"/>
    <w:rsid w:val="00284282"/>
    <w:rsid w:val="002852F7"/>
    <w:rsid w:val="002B34C1"/>
    <w:rsid w:val="002C6C0E"/>
    <w:rsid w:val="002D12BD"/>
    <w:rsid w:val="002E2AAE"/>
    <w:rsid w:val="002E7C3D"/>
    <w:rsid w:val="00300155"/>
    <w:rsid w:val="00315FE1"/>
    <w:rsid w:val="0031792A"/>
    <w:rsid w:val="00336769"/>
    <w:rsid w:val="003442E9"/>
    <w:rsid w:val="00362E17"/>
    <w:rsid w:val="00363BA0"/>
    <w:rsid w:val="00364102"/>
    <w:rsid w:val="0038618F"/>
    <w:rsid w:val="00394A00"/>
    <w:rsid w:val="003A09AD"/>
    <w:rsid w:val="003B3728"/>
    <w:rsid w:val="003C6CCE"/>
    <w:rsid w:val="003C754C"/>
    <w:rsid w:val="003F0A33"/>
    <w:rsid w:val="00403C52"/>
    <w:rsid w:val="00405BBF"/>
    <w:rsid w:val="0041390E"/>
    <w:rsid w:val="00414049"/>
    <w:rsid w:val="0042759C"/>
    <w:rsid w:val="004363D0"/>
    <w:rsid w:val="004415AC"/>
    <w:rsid w:val="004458EE"/>
    <w:rsid w:val="00456965"/>
    <w:rsid w:val="0047192C"/>
    <w:rsid w:val="004A6D20"/>
    <w:rsid w:val="004D1007"/>
    <w:rsid w:val="004D5162"/>
    <w:rsid w:val="004E2BBE"/>
    <w:rsid w:val="004E440B"/>
    <w:rsid w:val="004F7A33"/>
    <w:rsid w:val="005029BA"/>
    <w:rsid w:val="005035F3"/>
    <w:rsid w:val="005123B7"/>
    <w:rsid w:val="00515469"/>
    <w:rsid w:val="00523873"/>
    <w:rsid w:val="00534A68"/>
    <w:rsid w:val="00545815"/>
    <w:rsid w:val="00552579"/>
    <w:rsid w:val="00591CD8"/>
    <w:rsid w:val="0059322D"/>
    <w:rsid w:val="005A3621"/>
    <w:rsid w:val="005A7991"/>
    <w:rsid w:val="005D7C66"/>
    <w:rsid w:val="005E4FF4"/>
    <w:rsid w:val="006079C8"/>
    <w:rsid w:val="00620094"/>
    <w:rsid w:val="006212C6"/>
    <w:rsid w:val="00623885"/>
    <w:rsid w:val="006505DB"/>
    <w:rsid w:val="00654D6A"/>
    <w:rsid w:val="006B262D"/>
    <w:rsid w:val="006D4657"/>
    <w:rsid w:val="007065E2"/>
    <w:rsid w:val="00720AF4"/>
    <w:rsid w:val="0073202B"/>
    <w:rsid w:val="00742B23"/>
    <w:rsid w:val="00746660"/>
    <w:rsid w:val="0077493C"/>
    <w:rsid w:val="007760B7"/>
    <w:rsid w:val="00783FA4"/>
    <w:rsid w:val="00787F4B"/>
    <w:rsid w:val="007C3777"/>
    <w:rsid w:val="007C7394"/>
    <w:rsid w:val="007D15B8"/>
    <w:rsid w:val="007E49F5"/>
    <w:rsid w:val="007E4E82"/>
    <w:rsid w:val="007F16DB"/>
    <w:rsid w:val="008030B9"/>
    <w:rsid w:val="008312BA"/>
    <w:rsid w:val="00834B82"/>
    <w:rsid w:val="00840D38"/>
    <w:rsid w:val="00852600"/>
    <w:rsid w:val="008565D8"/>
    <w:rsid w:val="008716C0"/>
    <w:rsid w:val="00881A85"/>
    <w:rsid w:val="0088447B"/>
    <w:rsid w:val="00887E75"/>
    <w:rsid w:val="0089747A"/>
    <w:rsid w:val="008E39D3"/>
    <w:rsid w:val="008E505E"/>
    <w:rsid w:val="00902E46"/>
    <w:rsid w:val="009527F5"/>
    <w:rsid w:val="00960D73"/>
    <w:rsid w:val="00986FF6"/>
    <w:rsid w:val="009C20F6"/>
    <w:rsid w:val="009C38A8"/>
    <w:rsid w:val="009D4B30"/>
    <w:rsid w:val="009F4949"/>
    <w:rsid w:val="00A01530"/>
    <w:rsid w:val="00A21149"/>
    <w:rsid w:val="00A26C3C"/>
    <w:rsid w:val="00A33A43"/>
    <w:rsid w:val="00A37BA7"/>
    <w:rsid w:val="00A42A20"/>
    <w:rsid w:val="00A63ABC"/>
    <w:rsid w:val="00A83E6E"/>
    <w:rsid w:val="00A84DC8"/>
    <w:rsid w:val="00A86BA9"/>
    <w:rsid w:val="00A929ED"/>
    <w:rsid w:val="00AA1481"/>
    <w:rsid w:val="00AA52F0"/>
    <w:rsid w:val="00AB278D"/>
    <w:rsid w:val="00AC7716"/>
    <w:rsid w:val="00AF1120"/>
    <w:rsid w:val="00AF177F"/>
    <w:rsid w:val="00AF3846"/>
    <w:rsid w:val="00B22DDA"/>
    <w:rsid w:val="00B36EF2"/>
    <w:rsid w:val="00B42C77"/>
    <w:rsid w:val="00B46536"/>
    <w:rsid w:val="00B46855"/>
    <w:rsid w:val="00B47E6C"/>
    <w:rsid w:val="00B52D4E"/>
    <w:rsid w:val="00B73816"/>
    <w:rsid w:val="00B8481B"/>
    <w:rsid w:val="00B84C31"/>
    <w:rsid w:val="00B926F1"/>
    <w:rsid w:val="00B94B9C"/>
    <w:rsid w:val="00B95175"/>
    <w:rsid w:val="00B96B56"/>
    <w:rsid w:val="00BD376F"/>
    <w:rsid w:val="00C13E9C"/>
    <w:rsid w:val="00C14F14"/>
    <w:rsid w:val="00C41102"/>
    <w:rsid w:val="00C52267"/>
    <w:rsid w:val="00C5386A"/>
    <w:rsid w:val="00C55B46"/>
    <w:rsid w:val="00C57E2E"/>
    <w:rsid w:val="00C77F6C"/>
    <w:rsid w:val="00C83FDA"/>
    <w:rsid w:val="00C9347F"/>
    <w:rsid w:val="00CA018B"/>
    <w:rsid w:val="00CA39F4"/>
    <w:rsid w:val="00CA7127"/>
    <w:rsid w:val="00CB08C4"/>
    <w:rsid w:val="00CD2C49"/>
    <w:rsid w:val="00CE1530"/>
    <w:rsid w:val="00CF3093"/>
    <w:rsid w:val="00D3214D"/>
    <w:rsid w:val="00D428E0"/>
    <w:rsid w:val="00D51A14"/>
    <w:rsid w:val="00D653B2"/>
    <w:rsid w:val="00DA1675"/>
    <w:rsid w:val="00DA301A"/>
    <w:rsid w:val="00DB5F82"/>
    <w:rsid w:val="00DD695C"/>
    <w:rsid w:val="00DE7C0F"/>
    <w:rsid w:val="00E02847"/>
    <w:rsid w:val="00E122D0"/>
    <w:rsid w:val="00E56FD2"/>
    <w:rsid w:val="00E83306"/>
    <w:rsid w:val="00E84D79"/>
    <w:rsid w:val="00EA4AF6"/>
    <w:rsid w:val="00EC1AE8"/>
    <w:rsid w:val="00EC75BE"/>
    <w:rsid w:val="00F52C86"/>
    <w:rsid w:val="00F8747A"/>
    <w:rsid w:val="00F9176A"/>
    <w:rsid w:val="00FA13C4"/>
    <w:rsid w:val="00FA437F"/>
    <w:rsid w:val="00FB051F"/>
    <w:rsid w:val="00FB0640"/>
    <w:rsid w:val="00FB6C86"/>
    <w:rsid w:val="00FC0781"/>
    <w:rsid w:val="00FD4A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3394E"/>
  <w15:chartTrackingRefBased/>
  <w15:docId w15:val="{7D49D16E-7293-4CA6-A218-2807E726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BE"/>
    <w:pPr>
      <w:spacing w:before="120" w:after="120"/>
      <w:jc w:val="both"/>
    </w:pPr>
    <w:rPr>
      <w:rFonts w:ascii="Arial" w:hAnsi="Arial"/>
    </w:rPr>
  </w:style>
  <w:style w:type="paragraph" w:styleId="Ttulo1">
    <w:name w:val="heading 1"/>
    <w:basedOn w:val="Normal"/>
    <w:next w:val="Normal"/>
    <w:link w:val="Ttulo1Car"/>
    <w:uiPriority w:val="9"/>
    <w:qFormat/>
    <w:rsid w:val="0031792A"/>
    <w:pPr>
      <w:keepNext/>
      <w:keepLines/>
      <w:numPr>
        <w:numId w:val="6"/>
      </w:numPr>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6B262D"/>
    <w:pPr>
      <w:keepNext/>
      <w:keepLines/>
      <w:numPr>
        <w:ilvl w:val="1"/>
        <w:numId w:val="6"/>
      </w:numPr>
      <w:spacing w:before="4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6B262D"/>
    <w:pPr>
      <w:keepNext/>
      <w:keepLines/>
      <w:numPr>
        <w:ilvl w:val="2"/>
        <w:numId w:val="6"/>
      </w:numPr>
      <w:spacing w:before="40" w:after="0"/>
      <w:outlineLvl w:val="2"/>
    </w:pPr>
    <w:rPr>
      <w:rFonts w:eastAsiaTheme="majorEastAsia" w:cstheme="majorBidi"/>
      <w:sz w:val="24"/>
      <w:szCs w:val="24"/>
    </w:rPr>
  </w:style>
  <w:style w:type="paragraph" w:styleId="Ttulo4">
    <w:name w:val="heading 4"/>
    <w:basedOn w:val="Normal"/>
    <w:next w:val="Normal"/>
    <w:link w:val="Ttulo4Car"/>
    <w:uiPriority w:val="9"/>
    <w:semiHidden/>
    <w:unhideWhenUsed/>
    <w:qFormat/>
    <w:rsid w:val="006B262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B262D"/>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B262D"/>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B262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B262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262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792A"/>
    <w:rPr>
      <w:rFonts w:asciiTheme="majorHAnsi" w:eastAsiaTheme="majorEastAsia" w:hAnsiTheme="majorHAnsi" w:cstheme="majorBidi"/>
      <w:b/>
      <w:sz w:val="32"/>
      <w:szCs w:val="32"/>
    </w:rPr>
  </w:style>
  <w:style w:type="paragraph" w:styleId="Prrafodelista">
    <w:name w:val="List Paragraph"/>
    <w:basedOn w:val="Normal"/>
    <w:uiPriority w:val="34"/>
    <w:qFormat/>
    <w:rsid w:val="00EC75BE"/>
    <w:pPr>
      <w:ind w:left="720"/>
      <w:contextualSpacing/>
    </w:pPr>
  </w:style>
  <w:style w:type="table" w:styleId="Tablaconcuadrcula">
    <w:name w:val="Table Grid"/>
    <w:basedOn w:val="Tablanormal"/>
    <w:uiPriority w:val="39"/>
    <w:rsid w:val="00EC7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A16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DA1675"/>
    <w:rPr>
      <w:rFonts w:ascii="Arial" w:hAnsi="Arial"/>
    </w:rPr>
  </w:style>
  <w:style w:type="paragraph" w:styleId="Piedepgina">
    <w:name w:val="footer"/>
    <w:basedOn w:val="Normal"/>
    <w:link w:val="PiedepginaCar"/>
    <w:uiPriority w:val="99"/>
    <w:unhideWhenUsed/>
    <w:rsid w:val="00DA16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DA1675"/>
    <w:rPr>
      <w:rFonts w:ascii="Arial" w:hAnsi="Arial"/>
    </w:rPr>
  </w:style>
  <w:style w:type="character" w:customStyle="1" w:styleId="Ttulo2Car">
    <w:name w:val="Título 2 Car"/>
    <w:basedOn w:val="Fuentedeprrafopredeter"/>
    <w:link w:val="Ttulo2"/>
    <w:uiPriority w:val="9"/>
    <w:rsid w:val="006B262D"/>
    <w:rPr>
      <w:rFonts w:ascii="Arial" w:eastAsiaTheme="majorEastAsia" w:hAnsi="Arial" w:cstheme="majorBidi"/>
      <w:b/>
      <w:sz w:val="26"/>
      <w:szCs w:val="26"/>
    </w:rPr>
  </w:style>
  <w:style w:type="character" w:customStyle="1" w:styleId="Ttulo3Car">
    <w:name w:val="Título 3 Car"/>
    <w:basedOn w:val="Fuentedeprrafopredeter"/>
    <w:link w:val="Ttulo3"/>
    <w:uiPriority w:val="9"/>
    <w:rsid w:val="006B262D"/>
    <w:rPr>
      <w:rFonts w:ascii="Arial" w:eastAsiaTheme="majorEastAsia" w:hAnsi="Arial" w:cstheme="majorBidi"/>
      <w:sz w:val="24"/>
      <w:szCs w:val="24"/>
    </w:rPr>
  </w:style>
  <w:style w:type="character" w:customStyle="1" w:styleId="Ttulo4Car">
    <w:name w:val="Título 4 Car"/>
    <w:basedOn w:val="Fuentedeprrafopredeter"/>
    <w:link w:val="Ttulo4"/>
    <w:uiPriority w:val="9"/>
    <w:semiHidden/>
    <w:rsid w:val="006B262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B262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B262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B262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B262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262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AF384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23379D"/>
    <w:rPr>
      <w:color w:val="0563C1" w:themeColor="hyperlink"/>
      <w:u w:val="single"/>
    </w:rPr>
  </w:style>
  <w:style w:type="character" w:styleId="Mencinsinresolver">
    <w:name w:val="Unresolved Mention"/>
    <w:basedOn w:val="Fuentedeprrafopredeter"/>
    <w:uiPriority w:val="99"/>
    <w:semiHidden/>
    <w:unhideWhenUsed/>
    <w:rsid w:val="0023379D"/>
    <w:rPr>
      <w:color w:val="605E5C"/>
      <w:shd w:val="clear" w:color="auto" w:fill="E1DFDD"/>
    </w:rPr>
  </w:style>
  <w:style w:type="paragraph" w:styleId="HTMLconformatoprevio">
    <w:name w:val="HTML Preformatted"/>
    <w:basedOn w:val="Normal"/>
    <w:link w:val="HTMLconformatoprevioCar"/>
    <w:uiPriority w:val="99"/>
    <w:semiHidden/>
    <w:unhideWhenUsed/>
    <w:rsid w:val="001F0B7E"/>
    <w:pPr>
      <w:spacing w:before="0"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F0B7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8</Pages>
  <Words>1578</Words>
  <Characters>8683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Bediaga Escudero</dc:creator>
  <cp:keywords/>
  <dc:description/>
  <cp:lastModifiedBy>Iraia Laraudogoitia Etxebarria</cp:lastModifiedBy>
  <cp:revision>1</cp:revision>
  <dcterms:created xsi:type="dcterms:W3CDTF">2025-09-17T14:23:00Z</dcterms:created>
  <dcterms:modified xsi:type="dcterms:W3CDTF">2025-10-19T15:01:00Z</dcterms:modified>
</cp:coreProperties>
</file>