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E7769" w14:textId="77777777" w:rsidR="00104D6B" w:rsidRPr="00104D6B" w:rsidRDefault="00F44C3A" w:rsidP="00104D6B">
      <w:pPr>
        <w:jc w:val="center"/>
        <w:rPr>
          <w:rFonts w:ascii="Arial" w:hAnsi="Arial" w:cs="Arial"/>
          <w:b/>
          <w:sz w:val="28"/>
          <w:szCs w:val="28"/>
        </w:rPr>
      </w:pPr>
      <w:r>
        <w:rPr>
          <w:rFonts w:ascii="Arial" w:hAnsi="Arial" w:cs="Arial"/>
          <w:b/>
          <w:sz w:val="28"/>
          <w:szCs w:val="28"/>
        </w:rPr>
        <w:t>Acceptable Encryption Policy</w:t>
      </w:r>
    </w:p>
    <w:p w14:paraId="42C7C4D8"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5976AC72" w14:textId="77777777"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F44C3A">
        <w:rPr>
          <w:rFonts w:ascii="Arial" w:hAnsi="Arial" w:cs="Arial"/>
          <w:i/>
        </w:rPr>
        <w:t xml:space="preserve">Updated </w:t>
      </w:r>
      <w:r w:rsidR="00C10B03">
        <w:rPr>
          <w:rFonts w:ascii="Arial" w:hAnsi="Arial" w:cs="Arial"/>
          <w:i/>
        </w:rPr>
        <w:t>June 2014</w:t>
      </w:r>
    </w:p>
    <w:p w14:paraId="38C26FAD" w14:textId="77777777" w:rsidR="00C72E22" w:rsidRDefault="00C72E22" w:rsidP="00A84AF0">
      <w:pPr>
        <w:pStyle w:val="Heading1"/>
        <w:numPr>
          <w:ilvl w:val="0"/>
          <w:numId w:val="1"/>
        </w:numPr>
        <w:spacing w:before="0"/>
      </w:pPr>
      <w:r>
        <w:t>Overview</w:t>
      </w:r>
    </w:p>
    <w:p w14:paraId="164306A8" w14:textId="77777777" w:rsidR="00C72E22" w:rsidRPr="00B96A66" w:rsidRDefault="00CE185F" w:rsidP="00C72E22">
      <w:pPr>
        <w:rPr>
          <w:rFonts w:cs="Times New Roman"/>
          <w:szCs w:val="24"/>
        </w:rPr>
      </w:pPr>
      <w:r>
        <w:rPr>
          <w:rFonts w:cs="Times New Roman"/>
          <w:szCs w:val="24"/>
        </w:rPr>
        <w:t>See Purpose.</w:t>
      </w:r>
    </w:p>
    <w:p w14:paraId="24632776" w14:textId="77777777" w:rsidR="00C72E22" w:rsidRDefault="00C72E22" w:rsidP="00A84AF0">
      <w:pPr>
        <w:pStyle w:val="Heading1"/>
        <w:numPr>
          <w:ilvl w:val="0"/>
          <w:numId w:val="1"/>
        </w:numPr>
        <w:spacing w:before="0"/>
      </w:pPr>
      <w:r>
        <w:t>Purpose</w:t>
      </w:r>
    </w:p>
    <w:p w14:paraId="0AED97D6" w14:textId="77777777" w:rsidR="00C72E22" w:rsidRDefault="00F44C3A" w:rsidP="00F44C3A">
      <w:pPr>
        <w:pStyle w:val="PlainText"/>
        <w:rPr>
          <w:rFonts w:ascii="Times New Roman" w:eastAsia="MS Mincho" w:hAnsi="Times New Roman"/>
          <w:sz w:val="24"/>
          <w:szCs w:val="24"/>
        </w:rPr>
      </w:pPr>
      <w:r w:rsidRPr="006A6695">
        <w:rPr>
          <w:rFonts w:ascii="Times New Roman" w:eastAsia="MS Mincho" w:hAnsi="Times New Roman"/>
          <w:sz w:val="24"/>
          <w:szCs w:val="24"/>
        </w:rPr>
        <w:t>The purpose of this policy is to provide guidance that limits the use of encryption to those algorithms that have received substantial public review and have been proven to work effectively. Additionally, this policy provides direction to ensure that Federal regulations are followed, and legal authority is granted for the dissemination and use of encryption technologies outside of the United States.</w:t>
      </w:r>
    </w:p>
    <w:p w14:paraId="57E6A889" w14:textId="77777777" w:rsidR="00F44C3A" w:rsidRPr="00F44C3A" w:rsidRDefault="00F44C3A" w:rsidP="00F44C3A">
      <w:pPr>
        <w:pStyle w:val="PlainText"/>
        <w:rPr>
          <w:rFonts w:ascii="Times New Roman" w:eastAsia="MS Mincho" w:hAnsi="Times New Roman"/>
          <w:sz w:val="24"/>
          <w:szCs w:val="24"/>
        </w:rPr>
      </w:pPr>
    </w:p>
    <w:p w14:paraId="46DC67A9" w14:textId="77777777" w:rsidR="00C72E22" w:rsidRDefault="00C72E22" w:rsidP="00A84AF0">
      <w:pPr>
        <w:pStyle w:val="Heading1"/>
        <w:numPr>
          <w:ilvl w:val="0"/>
          <w:numId w:val="1"/>
        </w:numPr>
        <w:spacing w:before="0"/>
      </w:pPr>
      <w:r>
        <w:t>Scope</w:t>
      </w:r>
    </w:p>
    <w:p w14:paraId="10819AB6" w14:textId="77777777" w:rsidR="00C72E22" w:rsidRPr="00C72E22" w:rsidRDefault="00F44C3A" w:rsidP="00C72E22">
      <w:r w:rsidRPr="006A6695">
        <w:rPr>
          <w:rFonts w:eastAsia="MS Mincho"/>
          <w:szCs w:val="24"/>
        </w:rPr>
        <w:t>This policy applies to all &lt;Company Name&gt; employees and affiliates.</w:t>
      </w:r>
    </w:p>
    <w:p w14:paraId="5718E333" w14:textId="77777777" w:rsidR="00C72E22" w:rsidRDefault="00C72E22" w:rsidP="00A84AF0">
      <w:pPr>
        <w:pStyle w:val="Heading1"/>
        <w:numPr>
          <w:ilvl w:val="0"/>
          <w:numId w:val="1"/>
        </w:numPr>
        <w:spacing w:before="0"/>
      </w:pPr>
      <w:r>
        <w:t>Policy</w:t>
      </w:r>
    </w:p>
    <w:p w14:paraId="70D1065F" w14:textId="77777777" w:rsidR="00F44C3A" w:rsidRPr="00F44C3A" w:rsidRDefault="00F44C3A" w:rsidP="00F44C3A">
      <w:pPr>
        <w:pStyle w:val="ListParagraph"/>
        <w:numPr>
          <w:ilvl w:val="1"/>
          <w:numId w:val="8"/>
        </w:numPr>
        <w:rPr>
          <w:b/>
        </w:rPr>
      </w:pPr>
      <w:r w:rsidRPr="00F44C3A">
        <w:rPr>
          <w:b/>
        </w:rPr>
        <w:t>Algorithm Requirements</w:t>
      </w:r>
    </w:p>
    <w:p w14:paraId="1DEE6B77" w14:textId="77777777" w:rsidR="00F44C3A" w:rsidRPr="00F44C3A" w:rsidRDefault="00F44C3A" w:rsidP="00F44C3A">
      <w:pPr>
        <w:pStyle w:val="ListParagraph"/>
        <w:numPr>
          <w:ilvl w:val="2"/>
          <w:numId w:val="8"/>
        </w:numPr>
      </w:pPr>
      <w:r w:rsidRPr="00F44C3A">
        <w:rPr>
          <w:rFonts w:cs="Times New Roman"/>
        </w:rPr>
        <w:t xml:space="preserve">Ciphers in use must meet or exceed the set defined as "AES-compatible" or "partially AES-compatible" according to the </w:t>
      </w:r>
      <w:hyperlink r:id="rId9" w:anchor="section-3.1" w:history="1">
        <w:r w:rsidRPr="00F44C3A">
          <w:rPr>
            <w:rStyle w:val="Hyperlink"/>
            <w:rFonts w:cs="Times New Roman"/>
            <w:color w:val="auto"/>
          </w:rPr>
          <w:t>IETF/IRTF Cipher Catalog</w:t>
        </w:r>
      </w:hyperlink>
      <w:r w:rsidRPr="00F44C3A">
        <w:rPr>
          <w:rFonts w:cs="Times New Roman"/>
        </w:rPr>
        <w:t xml:space="preserve">, or the set defined for use in the United States </w:t>
      </w:r>
      <w:hyperlink r:id="rId10" w:history="1">
        <w:r w:rsidRPr="00F44C3A">
          <w:rPr>
            <w:rStyle w:val="Hyperlink"/>
            <w:rFonts w:cs="Times New Roman"/>
            <w:color w:val="auto"/>
          </w:rPr>
          <w:t>National Institute of Standards and Technology (NIST) publication FIPS 140-2</w:t>
        </w:r>
      </w:hyperlink>
      <w:r w:rsidRPr="00F44C3A">
        <w:rPr>
          <w:rFonts w:cs="Times New Roman"/>
        </w:rPr>
        <w:t>, or any superseding documents according to the date of implementation. The use of the Advanced Encryption Standard (AES) is strongly recommended for symmetric encryption.</w:t>
      </w:r>
    </w:p>
    <w:p w14:paraId="5E9D7EEF" w14:textId="77777777" w:rsidR="00F44C3A" w:rsidRPr="00F44C3A" w:rsidRDefault="00F44C3A" w:rsidP="00F44C3A">
      <w:pPr>
        <w:pStyle w:val="ListParagraph"/>
        <w:numPr>
          <w:ilvl w:val="2"/>
          <w:numId w:val="8"/>
        </w:numPr>
      </w:pPr>
      <w:r w:rsidRPr="00F44C3A">
        <w:rPr>
          <w:rFonts w:cs="Times New Roman"/>
        </w:rPr>
        <w:t xml:space="preserve">Algorithms in use must meet the standards defined for use in NIST publication </w:t>
      </w:r>
      <w:hyperlink r:id="rId11" w:history="1">
        <w:r w:rsidRPr="00F44C3A">
          <w:rPr>
            <w:rStyle w:val="Hyperlink"/>
            <w:rFonts w:cs="Times New Roman"/>
            <w:color w:val="auto"/>
          </w:rPr>
          <w:t>FIPS 140-2</w:t>
        </w:r>
      </w:hyperlink>
      <w:r w:rsidRPr="00F44C3A">
        <w:rPr>
          <w:rFonts w:cs="Times New Roman"/>
        </w:rPr>
        <w:t xml:space="preserve"> or any superseding document, according to date of implementation. The use of the RSA and Elliptic Curve Cryptography (ECC) algorithms is strongly recommended for asymmetric encryption.</w:t>
      </w:r>
    </w:p>
    <w:p w14:paraId="5B1B7455" w14:textId="77777777" w:rsidR="00F44C3A" w:rsidRPr="00F44C3A" w:rsidRDefault="00F44C3A" w:rsidP="00F44C3A">
      <w:pPr>
        <w:pStyle w:val="ListParagraph"/>
        <w:numPr>
          <w:ilvl w:val="2"/>
          <w:numId w:val="8"/>
        </w:numPr>
      </w:pPr>
      <w:r w:rsidRPr="00F44C3A">
        <w:rPr>
          <w:rFonts w:cs="Times New Roman"/>
        </w:rPr>
        <w:t xml:space="preserve">Signature Algorithms </w:t>
      </w:r>
    </w:p>
    <w:p w14:paraId="474AD518" w14:textId="77777777" w:rsidR="00F44C3A" w:rsidRDefault="00F44C3A" w:rsidP="00F44C3A">
      <w:pPr>
        <w:pStyle w:val="NormalInden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620"/>
        <w:gridCol w:w="4860"/>
      </w:tblGrid>
      <w:tr w:rsidR="00F44C3A" w:rsidRPr="003030B1" w14:paraId="6C55F06A" w14:textId="77777777" w:rsidTr="00F44C3A">
        <w:trPr>
          <w:trHeight w:val="638"/>
        </w:trPr>
        <w:tc>
          <w:tcPr>
            <w:tcW w:w="2268" w:type="dxa"/>
            <w:tcBorders>
              <w:bottom w:val="single" w:sz="4" w:space="0" w:color="auto"/>
            </w:tcBorders>
            <w:shd w:val="clear" w:color="auto" w:fill="C6D9F1"/>
          </w:tcPr>
          <w:p w14:paraId="1CDDC8FF" w14:textId="77777777" w:rsidR="00F44C3A" w:rsidRPr="003030B1" w:rsidRDefault="00F44C3A" w:rsidP="000D07B1">
            <w:pPr>
              <w:pStyle w:val="NormalIndent"/>
              <w:ind w:left="0"/>
              <w:jc w:val="center"/>
              <w:rPr>
                <w:b/>
              </w:rPr>
            </w:pPr>
            <w:r>
              <w:rPr>
                <w:b/>
              </w:rPr>
              <w:t>Algorithm</w:t>
            </w:r>
          </w:p>
        </w:tc>
        <w:tc>
          <w:tcPr>
            <w:tcW w:w="1620" w:type="dxa"/>
            <w:tcBorders>
              <w:bottom w:val="single" w:sz="4" w:space="0" w:color="auto"/>
            </w:tcBorders>
            <w:shd w:val="clear" w:color="auto" w:fill="C6D9F1"/>
          </w:tcPr>
          <w:p w14:paraId="037498DC" w14:textId="77777777" w:rsidR="00F44C3A" w:rsidRDefault="00F44C3A" w:rsidP="000D07B1">
            <w:pPr>
              <w:pStyle w:val="NormalIndent"/>
              <w:ind w:left="0"/>
              <w:jc w:val="center"/>
              <w:rPr>
                <w:b/>
              </w:rPr>
            </w:pPr>
            <w:r w:rsidRPr="003030B1">
              <w:rPr>
                <w:b/>
              </w:rPr>
              <w:t>Key Length</w:t>
            </w:r>
          </w:p>
          <w:p w14:paraId="2B18E892" w14:textId="77777777" w:rsidR="00F44C3A" w:rsidRPr="003030B1" w:rsidRDefault="00F44C3A" w:rsidP="000D07B1">
            <w:pPr>
              <w:pStyle w:val="NormalIndent"/>
              <w:ind w:left="0"/>
              <w:jc w:val="center"/>
              <w:rPr>
                <w:b/>
              </w:rPr>
            </w:pPr>
            <w:r>
              <w:rPr>
                <w:b/>
              </w:rPr>
              <w:t>(min)</w:t>
            </w:r>
          </w:p>
        </w:tc>
        <w:tc>
          <w:tcPr>
            <w:tcW w:w="4860" w:type="dxa"/>
            <w:tcBorders>
              <w:bottom w:val="single" w:sz="4" w:space="0" w:color="auto"/>
            </w:tcBorders>
            <w:shd w:val="clear" w:color="auto" w:fill="C6D9F1"/>
          </w:tcPr>
          <w:p w14:paraId="759EE8CD" w14:textId="77777777" w:rsidR="00F44C3A" w:rsidRPr="003030B1" w:rsidRDefault="00F44C3A" w:rsidP="000D07B1">
            <w:pPr>
              <w:pStyle w:val="NormalIndent"/>
              <w:ind w:left="0"/>
              <w:jc w:val="center"/>
              <w:rPr>
                <w:b/>
              </w:rPr>
            </w:pPr>
            <w:r w:rsidRPr="003030B1">
              <w:rPr>
                <w:b/>
              </w:rPr>
              <w:t>Additional Comment</w:t>
            </w:r>
          </w:p>
        </w:tc>
      </w:tr>
      <w:tr w:rsidR="00F44C3A" w14:paraId="2778F229" w14:textId="77777777" w:rsidTr="00F44C3A">
        <w:tc>
          <w:tcPr>
            <w:tcW w:w="2268" w:type="dxa"/>
          </w:tcPr>
          <w:p w14:paraId="37F4FABC" w14:textId="77777777" w:rsidR="00F44C3A" w:rsidRDefault="00F44C3A" w:rsidP="000D07B1">
            <w:pPr>
              <w:pStyle w:val="NormalIndent"/>
              <w:ind w:left="0"/>
            </w:pPr>
            <w:r>
              <w:t>ECDSA</w:t>
            </w:r>
          </w:p>
        </w:tc>
        <w:tc>
          <w:tcPr>
            <w:tcW w:w="1620" w:type="dxa"/>
          </w:tcPr>
          <w:p w14:paraId="4C43CB3F" w14:textId="77777777" w:rsidR="00F44C3A" w:rsidRDefault="00F44C3A" w:rsidP="000D07B1">
            <w:pPr>
              <w:pStyle w:val="NormalIndent"/>
              <w:ind w:left="0"/>
            </w:pPr>
            <w:r>
              <w:t>P-256</w:t>
            </w:r>
          </w:p>
        </w:tc>
        <w:tc>
          <w:tcPr>
            <w:tcW w:w="4860" w:type="dxa"/>
          </w:tcPr>
          <w:p w14:paraId="5FD91EA1" w14:textId="77777777" w:rsidR="00F44C3A" w:rsidRDefault="00A6214F" w:rsidP="00A6214F">
            <w:pPr>
              <w:pStyle w:val="NormalIndent"/>
              <w:ind w:left="0"/>
            </w:pPr>
            <w:r>
              <w:t>Consider</w:t>
            </w:r>
            <w:r w:rsidR="00F44C3A">
              <w:t xml:space="preserve"> </w:t>
            </w:r>
            <w:hyperlink r:id="rId12" w:history="1">
              <w:r w:rsidR="00F44C3A" w:rsidRPr="003A52E0">
                <w:rPr>
                  <w:rStyle w:val="Hyperlink"/>
                </w:rPr>
                <w:t>RFC6090</w:t>
              </w:r>
            </w:hyperlink>
            <w:r w:rsidR="00F44C3A">
              <w:t xml:space="preserve"> to avoid patent infringement.  </w:t>
            </w:r>
          </w:p>
        </w:tc>
      </w:tr>
      <w:tr w:rsidR="00F44C3A" w14:paraId="3A4D7919" w14:textId="77777777" w:rsidTr="00F44C3A">
        <w:tc>
          <w:tcPr>
            <w:tcW w:w="2268" w:type="dxa"/>
          </w:tcPr>
          <w:p w14:paraId="65EEE968" w14:textId="77777777" w:rsidR="00F44C3A" w:rsidRDefault="00F44C3A" w:rsidP="000D07B1">
            <w:pPr>
              <w:pStyle w:val="NormalIndent"/>
              <w:ind w:left="0"/>
            </w:pPr>
            <w:r>
              <w:t>RSA</w:t>
            </w:r>
          </w:p>
        </w:tc>
        <w:tc>
          <w:tcPr>
            <w:tcW w:w="1620" w:type="dxa"/>
          </w:tcPr>
          <w:p w14:paraId="197D24CF" w14:textId="77777777" w:rsidR="00F44C3A" w:rsidRDefault="00F44C3A" w:rsidP="000D07B1">
            <w:pPr>
              <w:pStyle w:val="NormalIndent"/>
              <w:ind w:left="0"/>
            </w:pPr>
            <w:r>
              <w:t>2048</w:t>
            </w:r>
          </w:p>
        </w:tc>
        <w:tc>
          <w:tcPr>
            <w:tcW w:w="4860" w:type="dxa"/>
          </w:tcPr>
          <w:p w14:paraId="70F9CD7F" w14:textId="77777777" w:rsidR="00F44C3A" w:rsidRDefault="00F44C3A" w:rsidP="000D07B1">
            <w:pPr>
              <w:pStyle w:val="NormalIndent"/>
              <w:ind w:left="0"/>
            </w:pPr>
            <w:r>
              <w:t xml:space="preserve">Must use a secure padding scheme. </w:t>
            </w:r>
            <w:hyperlink r:id="rId13" w:anchor="section-6.3" w:history="1">
              <w:r w:rsidRPr="008163AC">
                <w:rPr>
                  <w:rStyle w:val="Hyperlink"/>
                </w:rPr>
                <w:t xml:space="preserve">PKCS#7 </w:t>
              </w:r>
              <w:r w:rsidRPr="008163AC">
                <w:rPr>
                  <w:rStyle w:val="Hyperlink"/>
                </w:rPr>
                <w:lastRenderedPageBreak/>
                <w:t>padding scheme</w:t>
              </w:r>
            </w:hyperlink>
            <w:r>
              <w:t xml:space="preserve"> is recommended. Message hashing required.</w:t>
            </w:r>
          </w:p>
        </w:tc>
      </w:tr>
      <w:tr w:rsidR="00F44C3A" w14:paraId="1134AD57" w14:textId="77777777" w:rsidTr="00F44C3A">
        <w:tc>
          <w:tcPr>
            <w:tcW w:w="2268" w:type="dxa"/>
          </w:tcPr>
          <w:p w14:paraId="492B8694" w14:textId="77777777" w:rsidR="00F44C3A" w:rsidRPr="006526C1" w:rsidRDefault="00F44C3A" w:rsidP="000D07B1">
            <w:pPr>
              <w:pStyle w:val="NormalIndent"/>
              <w:ind w:left="0"/>
              <w:rPr>
                <w:highlight w:val="yellow"/>
              </w:rPr>
            </w:pPr>
            <w:r w:rsidRPr="00457353">
              <w:lastRenderedPageBreak/>
              <w:t>LDWM</w:t>
            </w:r>
          </w:p>
        </w:tc>
        <w:tc>
          <w:tcPr>
            <w:tcW w:w="1620" w:type="dxa"/>
          </w:tcPr>
          <w:p w14:paraId="25D6B515" w14:textId="77777777" w:rsidR="00F44C3A" w:rsidRPr="006526C1" w:rsidRDefault="00F44C3A" w:rsidP="000D07B1">
            <w:pPr>
              <w:pStyle w:val="NormalIndent"/>
              <w:ind w:left="0"/>
              <w:rPr>
                <w:highlight w:val="yellow"/>
              </w:rPr>
            </w:pPr>
            <w:r w:rsidRPr="00457353">
              <w:t>S</w:t>
            </w:r>
            <w:r>
              <w:t>HA256</w:t>
            </w:r>
          </w:p>
        </w:tc>
        <w:tc>
          <w:tcPr>
            <w:tcW w:w="4860" w:type="dxa"/>
          </w:tcPr>
          <w:p w14:paraId="38EDADE3" w14:textId="77777777" w:rsidR="00F44C3A" w:rsidRPr="006526C1" w:rsidRDefault="00F44C3A" w:rsidP="000D07B1">
            <w:pPr>
              <w:pStyle w:val="NormalIndent"/>
              <w:ind w:left="0"/>
              <w:rPr>
                <w:highlight w:val="yellow"/>
              </w:rPr>
            </w:pPr>
            <w:r>
              <w:t xml:space="preserve">Refer to </w:t>
            </w:r>
            <w:hyperlink r:id="rId14" w:history="1">
              <w:r w:rsidRPr="00013A45">
                <w:rPr>
                  <w:rStyle w:val="Hyperlink"/>
                </w:rPr>
                <w:t>LDWM Hash-based Signatures Draft</w:t>
              </w:r>
            </w:hyperlink>
          </w:p>
        </w:tc>
      </w:tr>
    </w:tbl>
    <w:p w14:paraId="2CEAAE36" w14:textId="77777777" w:rsidR="00F44C3A" w:rsidRPr="0078581D" w:rsidRDefault="00F44C3A" w:rsidP="00F44C3A">
      <w:pPr>
        <w:pStyle w:val="NormalIndent"/>
      </w:pPr>
    </w:p>
    <w:p w14:paraId="422A0BA8" w14:textId="77777777" w:rsidR="00F44C3A" w:rsidRPr="00F44C3A" w:rsidRDefault="00F44C3A" w:rsidP="00F44C3A">
      <w:pPr>
        <w:pStyle w:val="Heading3"/>
        <w:numPr>
          <w:ilvl w:val="1"/>
          <w:numId w:val="8"/>
        </w:numPr>
        <w:rPr>
          <w:color w:val="auto"/>
        </w:rPr>
      </w:pPr>
      <w:r w:rsidRPr="00F44C3A">
        <w:rPr>
          <w:color w:val="auto"/>
        </w:rPr>
        <w:t>Hash Function Requirements</w:t>
      </w:r>
    </w:p>
    <w:p w14:paraId="620E1527" w14:textId="77777777" w:rsidR="00F44C3A" w:rsidRDefault="00F44C3A" w:rsidP="00F44C3A">
      <w:pPr>
        <w:pStyle w:val="NormalIndent"/>
        <w:ind w:left="360"/>
      </w:pPr>
      <w:r>
        <w:t xml:space="preserve">In general, &lt;Company Name&gt; adheres to the </w:t>
      </w:r>
      <w:hyperlink r:id="rId15" w:history="1">
        <w:r w:rsidRPr="00581286">
          <w:rPr>
            <w:rStyle w:val="Hyperlink"/>
          </w:rPr>
          <w:t>NIST Policy on Hash Functions</w:t>
        </w:r>
      </w:hyperlink>
      <w:r>
        <w:t>.</w:t>
      </w:r>
      <w:r w:rsidRPr="00581286">
        <w:t xml:space="preserve"> </w:t>
      </w:r>
    </w:p>
    <w:p w14:paraId="514E734D" w14:textId="77777777" w:rsidR="00F44C3A" w:rsidRDefault="00F44C3A" w:rsidP="00F44C3A">
      <w:pPr>
        <w:pStyle w:val="NormalIndent"/>
      </w:pPr>
    </w:p>
    <w:p w14:paraId="49AA2DA9" w14:textId="77777777" w:rsidR="00F44C3A" w:rsidRPr="00F44C3A" w:rsidRDefault="00F44C3A" w:rsidP="00F44C3A">
      <w:pPr>
        <w:pStyle w:val="Heading3"/>
        <w:numPr>
          <w:ilvl w:val="1"/>
          <w:numId w:val="8"/>
        </w:numPr>
        <w:rPr>
          <w:rFonts w:ascii="Times New Roman" w:hAnsi="Times New Roman" w:cs="Times New Roman"/>
          <w:color w:val="auto"/>
        </w:rPr>
      </w:pPr>
      <w:r w:rsidRPr="00F44C3A">
        <w:rPr>
          <w:rFonts w:ascii="Times New Roman" w:hAnsi="Times New Roman" w:cs="Times New Roman"/>
          <w:color w:val="auto"/>
        </w:rPr>
        <w:t>Key Agreement and Authentication</w:t>
      </w:r>
    </w:p>
    <w:p w14:paraId="20A67A52"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Key exchanges must use one of the following cryptographic protocols: Diffie-Hellman, IKE, or Elliptic curve Diffie-Hellman (ECDH).</w:t>
      </w:r>
    </w:p>
    <w:p w14:paraId="2DAF7208" w14:textId="77777777" w:rsidR="00F44C3A" w:rsidRP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End points must be authenticated prior to the exchange or derivation of session keys.</w:t>
      </w:r>
    </w:p>
    <w:p w14:paraId="3EB6795E"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Public keys used to establish trust must be authenticated prior to use.  Examples of authentication include transmission via cryptographically signed message or manual verification of the public key hash.</w:t>
      </w:r>
    </w:p>
    <w:p w14:paraId="795AEA87"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All servers used for authentication (for example, RADIUS or TACACS) must have installed a valid certificate signed by a known trusted provider.</w:t>
      </w:r>
    </w:p>
    <w:p w14:paraId="2FE44603"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All servers and applications using SSL or TLS must have the certificates signed by a known, trusted provider. </w:t>
      </w:r>
    </w:p>
    <w:p w14:paraId="635EBC6D" w14:textId="77777777" w:rsidR="00F44C3A" w:rsidRDefault="00F44C3A" w:rsidP="00F44C3A">
      <w:pPr>
        <w:pStyle w:val="Heading4"/>
        <w:numPr>
          <w:ilvl w:val="1"/>
          <w:numId w:val="8"/>
        </w:numPr>
        <w:rPr>
          <w:rFonts w:ascii="Times New Roman" w:hAnsi="Times New Roman" w:cs="Times New Roman"/>
          <w:i w:val="0"/>
          <w:color w:val="auto"/>
        </w:rPr>
      </w:pPr>
      <w:r w:rsidRPr="00F44C3A">
        <w:rPr>
          <w:rFonts w:ascii="Times New Roman" w:hAnsi="Times New Roman" w:cs="Times New Roman"/>
          <w:i w:val="0"/>
          <w:color w:val="auto"/>
        </w:rPr>
        <w:t>Key Generation</w:t>
      </w:r>
    </w:p>
    <w:p w14:paraId="446F8B8C"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Cryptographic keys must be generated and stored in a secure manner that prevents loss, theft, or compromise. </w:t>
      </w:r>
    </w:p>
    <w:p w14:paraId="06494D8F" w14:textId="77777777" w:rsidR="00F44C3A" w:rsidRP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Key generation must be seeded from an industry standard random number generator (RNG). For examples, see </w:t>
      </w:r>
      <w:hyperlink r:id="rId16" w:history="1">
        <w:r w:rsidRPr="00F44C3A">
          <w:rPr>
            <w:rStyle w:val="Hyperlink"/>
            <w:rFonts w:ascii="Times New Roman" w:hAnsi="Times New Roman" w:cs="Times New Roman"/>
            <w:b w:val="0"/>
            <w:i w:val="0"/>
            <w:color w:val="auto"/>
          </w:rPr>
          <w:t>NIST Annex C: Approved Random Number Generators for FIPS PUB 140-2</w:t>
        </w:r>
      </w:hyperlink>
      <w:r w:rsidRPr="00F44C3A">
        <w:rPr>
          <w:rFonts w:ascii="Times New Roman" w:hAnsi="Times New Roman" w:cs="Times New Roman"/>
          <w:b w:val="0"/>
          <w:i w:val="0"/>
          <w:color w:val="auto"/>
        </w:rPr>
        <w:t xml:space="preserve">.  </w:t>
      </w:r>
    </w:p>
    <w:p w14:paraId="4531164E" w14:textId="77777777" w:rsidR="00C72E22" w:rsidRPr="00C72E22" w:rsidRDefault="00C72E22" w:rsidP="00C72E22"/>
    <w:p w14:paraId="07318063" w14:textId="77777777" w:rsidR="00C72E22" w:rsidRDefault="009C2FC8" w:rsidP="00A84AF0">
      <w:pPr>
        <w:pStyle w:val="Heading1"/>
        <w:numPr>
          <w:ilvl w:val="0"/>
          <w:numId w:val="1"/>
        </w:numPr>
        <w:spacing w:before="0"/>
      </w:pPr>
      <w:r>
        <w:t>Policy Compliance</w:t>
      </w:r>
    </w:p>
    <w:p w14:paraId="11170579"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3B39AC94"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2E9E7765"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Exceptions</w:t>
      </w:r>
    </w:p>
    <w:p w14:paraId="10571810"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842E464"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940D494"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727FC2C" w14:textId="77777777" w:rsidR="00A84AF0" w:rsidRDefault="009C2FC8" w:rsidP="00B96A66">
      <w:pPr>
        <w:pStyle w:val="Heading1"/>
        <w:numPr>
          <w:ilvl w:val="0"/>
          <w:numId w:val="4"/>
        </w:numPr>
      </w:pPr>
      <w:r>
        <w:t>Related Standards, Policies and Processes</w:t>
      </w:r>
    </w:p>
    <w:p w14:paraId="2401E5A0" w14:textId="77777777" w:rsidR="00F44C3A" w:rsidRDefault="005A098A" w:rsidP="00A84AF0">
      <w:pPr>
        <w:rPr>
          <w:rFonts w:cs="Times New Roman"/>
        </w:rPr>
      </w:pPr>
      <w:hyperlink r:id="rId17" w:history="1">
        <w:r w:rsidR="00F44C3A" w:rsidRPr="00F44C3A">
          <w:rPr>
            <w:rStyle w:val="Hyperlink"/>
            <w:rFonts w:cs="Times New Roman"/>
            <w:color w:val="auto"/>
          </w:rPr>
          <w:t>National Institute of Standards and Technology (NIST) publication FIPS 140-2</w:t>
        </w:r>
      </w:hyperlink>
      <w:r w:rsidR="00F44C3A" w:rsidRPr="00F44C3A">
        <w:rPr>
          <w:rFonts w:cs="Times New Roman"/>
        </w:rPr>
        <w:t>,</w:t>
      </w:r>
    </w:p>
    <w:p w14:paraId="77D2E318" w14:textId="77777777" w:rsidR="00F44C3A" w:rsidRPr="00F44C3A" w:rsidRDefault="005A098A" w:rsidP="00A84AF0">
      <w:pPr>
        <w:rPr>
          <w:u w:val="single"/>
        </w:rPr>
      </w:pPr>
      <w:hyperlink r:id="rId18" w:history="1">
        <w:r w:rsidR="00F44C3A" w:rsidRPr="00F44C3A">
          <w:rPr>
            <w:rStyle w:val="Hyperlink"/>
            <w:color w:val="auto"/>
          </w:rPr>
          <w:t>NIST Policy on Hash Functions</w:t>
        </w:r>
      </w:hyperlink>
    </w:p>
    <w:p w14:paraId="705F03DB" w14:textId="77777777" w:rsidR="009C2FC8" w:rsidRDefault="009C2FC8" w:rsidP="00B96A66">
      <w:pPr>
        <w:pStyle w:val="Heading1"/>
        <w:numPr>
          <w:ilvl w:val="0"/>
          <w:numId w:val="4"/>
        </w:numPr>
        <w:spacing w:before="0"/>
      </w:pPr>
      <w:r>
        <w:t>Definitions and Terms</w:t>
      </w:r>
    </w:p>
    <w:p w14:paraId="0823D762" w14:textId="77777777" w:rsidR="00CE185F" w:rsidRDefault="00CE185F" w:rsidP="00CE185F">
      <w:pPr>
        <w:spacing w:after="0"/>
        <w:rPr>
          <w:rFonts w:eastAsia="MS Mincho"/>
          <w:szCs w:val="24"/>
        </w:rPr>
      </w:pPr>
      <w:r>
        <w:rPr>
          <w:rFonts w:eastAsia="MS Mincho"/>
          <w:szCs w:val="24"/>
        </w:rPr>
        <w:t>The following definition and terms can be found in the SANS Glossary located at:</w:t>
      </w:r>
    </w:p>
    <w:p w14:paraId="620A7097" w14:textId="77777777" w:rsidR="00CE185F" w:rsidRDefault="00CE185F" w:rsidP="00A33A63">
      <w:pPr>
        <w:rPr>
          <w:rFonts w:eastAsia="MS Mincho"/>
          <w:szCs w:val="24"/>
        </w:rPr>
      </w:pPr>
      <w:r w:rsidRPr="00CE185F">
        <w:rPr>
          <w:rFonts w:eastAsia="MS Mincho"/>
          <w:szCs w:val="24"/>
        </w:rPr>
        <w:t>https://www.sans.org/security-resources/glossary-of-terms/</w:t>
      </w:r>
    </w:p>
    <w:p w14:paraId="458E2E37" w14:textId="77777777" w:rsidR="00A33A63" w:rsidRPr="00A33A63" w:rsidRDefault="00A33A63" w:rsidP="006D6644">
      <w:pPr>
        <w:pStyle w:val="ListParagraph"/>
        <w:numPr>
          <w:ilvl w:val="0"/>
          <w:numId w:val="10"/>
        </w:numPr>
      </w:pPr>
      <w:r w:rsidRPr="006D6644">
        <w:rPr>
          <w:rFonts w:eastAsia="MS Mincho"/>
          <w:szCs w:val="24"/>
        </w:rPr>
        <w:t>Proprietary Encryption</w:t>
      </w:r>
    </w:p>
    <w:p w14:paraId="7A8FDA41" w14:textId="77777777" w:rsidR="00A84AF0" w:rsidRPr="00A84AF0" w:rsidRDefault="00A84AF0" w:rsidP="00A84AF0"/>
    <w:p w14:paraId="7BB4ED7D"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9"/>
        <w:gridCol w:w="5168"/>
      </w:tblGrid>
      <w:tr w:rsidR="00FD3519" w14:paraId="06F584C8"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707DA9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335A5270"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B195C45"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1BABDB4A"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3F3AB99" w14:textId="77777777" w:rsidR="00FD3519" w:rsidRPr="00B96A66" w:rsidRDefault="00271CC9"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060AD63E"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68C9AAD7"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0AB52795"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2B086FEA"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7DBA292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9CA2332"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2BC409D" w14:textId="77777777" w:rsidR="00FD3519" w:rsidRPr="00FD3519" w:rsidRDefault="00FD3519" w:rsidP="00FD3519"/>
    <w:sectPr w:rsidR="00FD3519" w:rsidRPr="00FD351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D5B17" w14:textId="77777777" w:rsidR="005A098A" w:rsidRDefault="005A098A" w:rsidP="0066487F">
      <w:pPr>
        <w:spacing w:after="0" w:line="240" w:lineRule="auto"/>
      </w:pPr>
      <w:r>
        <w:separator/>
      </w:r>
    </w:p>
  </w:endnote>
  <w:endnote w:type="continuationSeparator" w:id="0">
    <w:p w14:paraId="61F5A138" w14:textId="77777777" w:rsidR="005A098A" w:rsidRDefault="005A098A"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DE5D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71CC9">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4B1CB" w14:textId="77777777" w:rsidR="005A098A" w:rsidRDefault="005A098A" w:rsidP="0066487F">
      <w:pPr>
        <w:spacing w:after="0" w:line="240" w:lineRule="auto"/>
      </w:pPr>
      <w:r>
        <w:separator/>
      </w:r>
    </w:p>
  </w:footnote>
  <w:footnote w:type="continuationSeparator" w:id="0">
    <w:p w14:paraId="584E5D59" w14:textId="77777777" w:rsidR="005A098A" w:rsidRDefault="005A098A"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1C807"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FBE5206" wp14:editId="335D73EA">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42DF4E3C"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BE5206" id="_x0000_t202" coordsize="21600,21600" o:spt="202" path="m,l,21600r21600,l21600,xe">
              <v:stroke joinstyle="miter"/>
              <v:path gradientshapeok="t" o:connecttype="rect"/>
            </v:shapetype>
            <v:shape id="Text Box 2" o:spid="_x0000_s1026" type="#_x0000_t202" style="position:absolute;margin-left:64.45pt;margin-top:6pt;width:299.25pt;height:34.6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" stroked="f">
              <v:textbox style="mso-fit-shape-to-text:t">
                <w:txbxContent>
                  <w:p w14:paraId="42DF4E3C"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334B9A4" wp14:editId="38C2960E">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BF22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" strokecolor="#345c8c" strokeweight="2.25pt"/>
          </w:pict>
        </mc:Fallback>
      </mc:AlternateContent>
    </w:r>
    <w:r>
      <w:rPr>
        <w:noProof/>
      </w:rPr>
      <w:drawing>
        <wp:inline distT="0" distB="0" distL="0" distR="0" wp14:anchorId="1C0369E2" wp14:editId="4A01D1ED">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9"/>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424FD"/>
    <w:rsid w:val="000B1132"/>
    <w:rsid w:val="000B1FE1"/>
    <w:rsid w:val="00104D6B"/>
    <w:rsid w:val="001A6AB2"/>
    <w:rsid w:val="001C4F84"/>
    <w:rsid w:val="001D04F3"/>
    <w:rsid w:val="001E2F40"/>
    <w:rsid w:val="001F698B"/>
    <w:rsid w:val="00271CC9"/>
    <w:rsid w:val="002D5B0F"/>
    <w:rsid w:val="003013B8"/>
    <w:rsid w:val="0033192C"/>
    <w:rsid w:val="003E5B3B"/>
    <w:rsid w:val="00411960"/>
    <w:rsid w:val="00445399"/>
    <w:rsid w:val="004C1738"/>
    <w:rsid w:val="005A098A"/>
    <w:rsid w:val="005A48F9"/>
    <w:rsid w:val="0066487F"/>
    <w:rsid w:val="006668BB"/>
    <w:rsid w:val="006D6644"/>
    <w:rsid w:val="007161FB"/>
    <w:rsid w:val="00717E04"/>
    <w:rsid w:val="00792C9B"/>
    <w:rsid w:val="00875E48"/>
    <w:rsid w:val="008B353D"/>
    <w:rsid w:val="008B54E3"/>
    <w:rsid w:val="009536CD"/>
    <w:rsid w:val="009C2FC8"/>
    <w:rsid w:val="00A33A63"/>
    <w:rsid w:val="00A6214F"/>
    <w:rsid w:val="00A62A31"/>
    <w:rsid w:val="00A84AF0"/>
    <w:rsid w:val="00A94C56"/>
    <w:rsid w:val="00AF32E9"/>
    <w:rsid w:val="00B96A66"/>
    <w:rsid w:val="00BA09AE"/>
    <w:rsid w:val="00BA253C"/>
    <w:rsid w:val="00BD6ABF"/>
    <w:rsid w:val="00BF37D6"/>
    <w:rsid w:val="00C10B03"/>
    <w:rsid w:val="00C234F8"/>
    <w:rsid w:val="00C41CE0"/>
    <w:rsid w:val="00C54188"/>
    <w:rsid w:val="00C72E22"/>
    <w:rsid w:val="00CE185F"/>
    <w:rsid w:val="00D7341F"/>
    <w:rsid w:val="00DB0515"/>
    <w:rsid w:val="00E1237C"/>
    <w:rsid w:val="00EA2056"/>
    <w:rsid w:val="00F44C3A"/>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yperlink" Target="http://tools.ietf.org/html/rfc3852" TargetMode="External"/><Relationship Id="rId18" Type="http://schemas.openxmlformats.org/officeDocument/2006/relationships/hyperlink" Target="http://csrc.nist.gov/groups/ST/hash/policy.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ools.ietf.org/html/rfc6090" TargetMode="External"/><Relationship Id="rId17" Type="http://schemas.openxmlformats.org/officeDocument/2006/relationships/hyperlink" Target="http://csrc.nist.gov/groups/STM/cmvp/documents/140-1/1401val2010.htm" TargetMode="External"/><Relationship Id="rId2" Type="http://schemas.openxmlformats.org/officeDocument/2006/relationships/numbering" Target="numbering.xml"/><Relationship Id="rId16" Type="http://schemas.openxmlformats.org/officeDocument/2006/relationships/hyperlink" Target="http://csrc.nist.gov/publications/fips/fips140-2/fips1402annexc.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rc.nist.gov/groups/STM/cmvp/documents/140-1/1401val2010.htm" TargetMode="External"/><Relationship Id="rId5" Type="http://schemas.openxmlformats.org/officeDocument/2006/relationships/webSettings" Target="webSettings.xml"/><Relationship Id="rId15" Type="http://schemas.openxmlformats.org/officeDocument/2006/relationships/hyperlink" Target="http://csrc.nist.gov/groups/ST/hash/policy.html" TargetMode="External"/><Relationship Id="rId10" Type="http://schemas.openxmlformats.org/officeDocument/2006/relationships/hyperlink" Target="http://csrc.nist.gov/groups/STM/cmvp/documents/140-1/1401val2010.ht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ools.ietf.org/html/draft-irtf-cfrg-cipher-catalog-01" TargetMode="External"/><Relationship Id="rId14" Type="http://schemas.openxmlformats.org/officeDocument/2006/relationships/hyperlink" Target="http://tools.ietf.org/html/draft-mcgrew-hash-sigs-0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2020-04-20T16:45:00Z</dcterms:created>
  <dcterms:modified xsi:type="dcterms:W3CDTF">2020-04-20T16:45:00Z</dcterms:modified>
</cp:coreProperties>
</file>