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CINC | The Details Drive the Difference</w:t>
      </w:r>
    </w:p>
    <w:p>
      <w:pPr>
        <w:pStyle w:val="Subtitle"/>
      </w:pPr>
      <w:r>
        <w:t>TEAM SALES ENABLEMENT  •  FRIDAY, OCTOBER 23, 2026</w:t>
      </w:r>
    </w:p>
    <w:p>
      <w:r>
        <w:t>Core message: At a high level, providers may offer the same three components—a website, lead generation, and a CRM. The difference is how the details work together to reduce waste, improve engagement, and create more opportunities to close.</w:t>
      </w:r>
    </w:p>
    <w:p>
      <w:pPr>
        <w:pStyle w:val="Heading1"/>
      </w:pPr>
      <w:r>
        <w:t>Opening talk track: “You’re right—we look similar.”</w:t>
      </w:r>
    </w:p>
    <w:p>
      <w:r>
        <w:t>“At a high level, you’re right. Most providers offer a website, leads, and some form of CRM. What makes CINC different is how we execute the smaller details within each component. Individually, those details may seem minor. Together, they can make a meaningful difference in the return on your investment.”</w:t>
      </w:r>
    </w:p>
    <w:p>
      <w:pPr>
        <w:pStyle w:val="Heading1"/>
      </w:pPr>
      <w:r>
        <w:t>The three pillars</w:t>
      </w:r>
    </w:p>
    <w:p>
      <w:pPr>
        <w:pStyle w:val="Heading2"/>
      </w:pPr>
      <w:r>
        <w:t>1 | Lead-generation website</w:t>
      </w:r>
    </w:p>
    <w:p>
      <w:pPr>
        <w:pStyle w:val="Quote"/>
      </w:pPr>
      <w:r>
        <w:t>Less waste. More opportunities.</w:t>
      </w:r>
    </w:p>
    <w:p>
      <w:r>
        <w:t>How it works: CINC website conversion: ~15% versus cited industry benchmark of ~2.88%—about 5.2× as many registrations per 100 visits.</w:t>
      </w:r>
    </w:p>
    <w:p>
      <w:r>
        <w:t>Rep language: “We’re not simply driving traffic. We’re working to turn more of that traffic into identifiable opportunities.”</w:t>
      </w:r>
    </w:p>
    <w:p>
      <w:pPr>
        <w:pStyle w:val="Heading2"/>
      </w:pPr>
      <w:r>
        <w:t>2 | Hyperlocal lead generation</w:t>
      </w:r>
    </w:p>
    <w:p>
      <w:pPr>
        <w:pStyle w:val="Quote"/>
      </w:pPr>
      <w:r>
        <w:t>Better targeting. Less wasted effort. Faster closings. Bigger commissions.</w:t>
      </w:r>
    </w:p>
    <w:p>
      <w:r>
        <w:t>How it works: Target neighborhoods, school districts, country clubs, resort areas and other sought-after locations rather than relying only on broad radius targeting. CINC-reported leads close ~2× as fast as an average internet lead.</w:t>
      </w:r>
    </w:p>
    <w:p>
      <w:r>
        <w:t>Rep language: “Radius creates reach; hyperlocal targeting helps focus on the places your ideal clients actually want to live.”</w:t>
      </w:r>
    </w:p>
    <w:p>
      <w:pPr>
        <w:pStyle w:val="Heading2"/>
      </w:pPr>
      <w:r>
        <w:t>3 | CRM + AI</w:t>
      </w:r>
    </w:p>
    <w:p>
      <w:pPr>
        <w:pStyle w:val="Quote"/>
      </w:pPr>
      <w:r>
        <w:t>Less chasing. More conversations. More appointments.</w:t>
      </w:r>
    </w:p>
    <w:p>
      <w:r>
        <w:t>How it works: AI uses website activity and CRM context to engage consumers, identify intent and immediately notify agents when an Agent Ready Lead is identified. CINC-reported 13–15 Agent Ready Leads per 100 generated leads.</w:t>
      </w:r>
    </w:p>
    <w:p>
      <w:r>
        <w:t>Rep language: “Your CRM stores opportunities. CINC’s AI helps turn them into conversations—and alerts you when it’s time to step in.”</w:t>
      </w:r>
    </w:p>
    <w:p>
      <w:pPr>
        <w:pStyle w:val="Heading1"/>
      </w:pPr>
      <w:r>
        <w:t>Supporting differentiators: the small details</w:t>
      </w:r>
    </w:p>
    <w:p>
      <w:pPr>
        <w:pStyle w:val="Heading2"/>
      </w:pPr>
      <w:r>
        <w:t>Behavior-based property alerts</w:t>
      </w:r>
    </w:p>
    <w:p>
      <w:r>
        <w:rPr>
          <w:b/>
        </w:rPr>
        <w:t xml:space="preserve">Feature: </w:t>
      </w:r>
      <w:r>
        <w:t>Automatically update listing recommendations as a shopper’s search behavior evolves.</w:t>
      </w:r>
    </w:p>
    <w:p>
      <w:r>
        <w:rPr>
          <w:b/>
        </w:rPr>
        <w:t xml:space="preserve">Why it matters: </w:t>
      </w:r>
      <w:r>
        <w:t>Static alerts can become stale when price point, location or needs change over a 6-, 12- or 24-month buying journey.</w:t>
      </w:r>
    </w:p>
    <w:p>
      <w:r>
        <w:rPr>
          <w:b/>
        </w:rPr>
        <w:t xml:space="preserve">Potential business impact: </w:t>
      </w:r>
      <w:r>
        <w:t>Keep listings relevant, encourage return visits and nurture prospects without manual search updates.</w:t>
      </w:r>
    </w:p>
    <w:p>
      <w:r>
        <w:rPr>
          <w:b/>
        </w:rPr>
        <w:t xml:space="preserve">Memorable line: </w:t>
      </w:r>
      <w:r>
        <w:t>“Your buyers’ needs change. CINC changes with them.”</w:t>
      </w:r>
    </w:p>
    <w:p>
      <w:pPr>
        <w:pStyle w:val="Heading2"/>
      </w:pPr>
      <w:r>
        <w:t>Intelligent email timing</w:t>
      </w:r>
    </w:p>
    <w:p>
      <w:r>
        <w:rPr>
          <w:b/>
        </w:rPr>
        <w:t xml:space="preserve">Feature: </w:t>
      </w:r>
      <w:r>
        <w:t>Use observed email-open patterns to time property alerts near when each consumer typically engages.</w:t>
      </w:r>
    </w:p>
    <w:p>
      <w:r>
        <w:rPr>
          <w:b/>
        </w:rPr>
        <w:t xml:space="preserve">Why it matters: </w:t>
      </w:r>
      <w:r>
        <w:t>An alert delivered just before a shopper’s usual reading time is more likely to be noticed than one buried in the inbox.</w:t>
      </w:r>
    </w:p>
    <w:p>
      <w:r>
        <w:rPr>
          <w:b/>
        </w:rPr>
        <w:t xml:space="preserve">Potential business impact: </w:t>
      </w:r>
      <w:r>
        <w:t>Create more opportunities for opens, property views and repeat engagement without manual scheduling.</w:t>
      </w:r>
    </w:p>
    <w:p>
      <w:r>
        <w:rPr>
          <w:b/>
        </w:rPr>
        <w:t xml:space="preserve">Memorable line: </w:t>
      </w:r>
      <w:r>
        <w:t>“It’s not just what you send. It’s when you send it.”</w:t>
      </w:r>
    </w:p>
    <w:p>
      <w:pPr>
        <w:pStyle w:val="Heading1"/>
      </w:pPr>
      <w:r>
        <w:t>The compounding effect</w:t>
      </w:r>
    </w:p>
    <w:p>
      <w:r>
        <w:t>Relevant listings → repeat site visits → richer behavioral signals → contextual AI conversations → Agent Ready Lead notifications → more timely agent follow-up.</w:t>
      </w:r>
    </w:p>
    <w:p>
      <w:pPr>
        <w:pStyle w:val="Heading1"/>
      </w:pPr>
      <w:r>
        <w:t>Friday coaching exercise</w:t>
      </w:r>
    </w:p>
    <w:p>
      <w:pPr>
        <w:pStyle w:val="ListBullet"/>
      </w:pPr>
      <w:r>
        <w:t>Have each rep explain one feature in 20 seconds.</w:t>
      </w:r>
    </w:p>
    <w:p>
      <w:pPr>
        <w:pStyle w:val="ListBullet"/>
      </w:pPr>
      <w:r>
        <w:t>Ask “So what?” until the rep names an agent-level business outcome.</w:t>
      </w:r>
    </w:p>
    <w:p>
      <w:pPr>
        <w:pStyle w:val="ListBullet"/>
      </w:pPr>
      <w:r>
        <w:t>Practice handling: “All these lead-generation companies are the same.”</w:t>
      </w:r>
    </w:p>
    <w:p>
      <w:pPr>
        <w:pStyle w:val="ListBullet"/>
      </w:pPr>
      <w:r>
        <w:t>Finish with one memorable sentence—not a feature dump.</w:t>
      </w:r>
    </w:p>
    <w:p>
      <w:pPr>
        <w:pStyle w:val="Heading1"/>
      </w:pPr>
      <w:r>
        <w:t>Claim-check before external use</w:t>
      </w:r>
    </w:p>
    <w:p>
      <w:r>
        <w:t>Figures and product behavior above are based on leadership-provided talking points, not independently validated in this document. Confirm definitions, measurement periods, and approved sources for 15%, 2.88%, 2× faster closings, and 13–15% Agent Ready Leads. A registration is not necessarily a qualified lead; an Agent Ready Lead is not necessarily a booked appointment. Avoid implying hyperlocal targeting guarantees higher commissions.</w:t>
      </w:r>
    </w:p>
    <w:sectPr w:rsidR="00FC693F" w:rsidRPr="0006063C" w:rsidSect="00034616">
      <w:pgSz w:w="12240" w:h="15840"/>
      <w:pgMar w:top="1008" w:right="1800" w:bottom="936" w:left="1800" w:header="504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3A5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63A5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63A51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