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C41230"/>
          <w:sz w:val="40"/>
        </w:rPr>
        <w:t>JON MORGAN</w:t>
      </w:r>
    </w:p>
    <w:p>
      <w:pPr>
        <w:spacing w:after="80"/>
      </w:pPr>
      <w:r>
        <w:rPr>
          <w:rFonts w:ascii="Calibri" w:hAnsi="Calibri"/>
          <w:b w:val="0"/>
          <w:i w:val="0"/>
          <w:color w:val="1A1A1A"/>
          <w:sz w:val="22"/>
        </w:rPr>
        <w:t>Systems Architect — Climate Resilience &amp; Building Performance</w:t>
      </w:r>
    </w:p>
    <w:p>
      <w:pPr>
        <w:spacing w:after="200"/>
      </w:pPr>
      <w:r>
        <w:rPr>
          <w:rFonts w:ascii="Calibri" w:hAnsi="Calibri"/>
          <w:b w:val="0"/>
          <w:i w:val="0"/>
          <w:color w:val="555555"/>
          <w:sz w:val="18"/>
        </w:rPr>
        <w:t>jonmorgan@fastmail.com   |   0429 357 751   |   linkedin.com/in/linkjonmorgan   |   Melbourne, Australia</w:t>
      </w:r>
    </w:p>
    <w:p>
      <w:pPr>
        <w:spacing w:after="140"/>
      </w:pPr>
      <w:r>
        <w:rPr>
          <w:rFonts w:ascii="Calibri" w:hAnsi="Calibri"/>
          <w:b w:val="0"/>
          <w:i w:val="0"/>
          <w:color w:val="1A1A1A"/>
          <w:sz w:val="20"/>
        </w:rPr>
        <w:t>Systems architect and engineer with close to 30 years' experience helping built-environment leaders navigate physical and climate risk — spanning applied building physics, environmental engineering, and full-stack software development. Co-directed an independent consulting practice while designing local-first computational tools that stress-test assets and decisions against a changing climate. Comfortable owning a problem end-to-end — from the physics, to the data pipeline, to the interface a client actually uses.</w:t>
      </w:r>
    </w:p>
    <w:p>
      <w:pPr>
        <w:spacing w:after="140"/>
      </w:pPr>
      <w:r>
        <w:rPr>
          <w:rFonts w:ascii="Calibri" w:hAnsi="Calibri"/>
          <w:b w:val="0"/>
          <w:i/>
          <w:color w:val="1A1A1A"/>
          <w:sz w:val="20"/>
        </w:rPr>
        <w:t>“Climate change is outpacing the built environment's ability to adapt. Meeting that gap takes systems thinking and rigorous engineering — translating physical risk into decisions that protect the people and assets exposed to it.”</w:t>
      </w:r>
    </w:p>
    <w:p>
      <w:pPr>
        <w:spacing w:after="140"/>
      </w:pPr>
      <w:r>
        <w:rPr>
          <w:rFonts w:ascii="Calibri" w:hAnsi="Calibri"/>
          <w:b w:val="0"/>
          <w:i w:val="0"/>
          <w:color w:val="1A1A1A"/>
          <w:sz w:val="20"/>
        </w:rPr>
        <w:t>Target roles: Director / Principal — Climate Resilience &amp; Building Performance · Sustainability Leadership · Systems Architecture &amp; Digital Twin Advisory · Independent or Associate Consultant</w:t>
      </w:r>
    </w:p>
    <w:p>
      <w:pPr>
        <w:spacing w:before="280" w:after="120"/>
        <w:pBdr>
          <w:bottom w:val="single" w:sz="8" w:space="2" w:color="C41230"/>
        </w:pBdr>
      </w:pPr>
      <w:r>
        <w:rPr>
          <w:rFonts w:ascii="Calibri" w:hAnsi="Calibri"/>
          <w:b/>
          <w:i w:val="0"/>
          <w:color w:val="C41230"/>
          <w:sz w:val="20"/>
        </w:rPr>
        <w:t>CORE COMPETENCIES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Climate Resilience &amp; Adaptation — deep technical grounding in heat and wind-driven building physics: heatwave stress-testing, thermal comfort modelling, and CFD/wind-tunnel analysis feeding into major architectural and structural design decisions.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Regulatory &amp; Rating-Framework Delivery — NCC Part J, Green Star, NABERS, BESS and JV3 compliance pathways delivered commercially at scale (Co-Perform); operates inside a framework to a pass/fail or star-rating outcome, not just a modelling exercise — the same discipline the ASRS/ISSB-driven roles now emerging in the market will need applied at asset level.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Commercial &amp; Operational Ownership — co-ran an independent ESD consulting practice for nearly a decade, closely involved in service-line profitability, cost management, strategy, branding and team leadership.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Systems Architecture &amp; Full-Stack Development — architects and builds custom software end-to-end, spanning UI, data pipelines, containerisation and local-first DevOps.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Systems Engineering &amp; Diagnostic Modelling — aerospace/defence-trained systems engineer; applies formal modelling method (abstraction, parameterisation, verification, validation) across aerospace, offshore, aviation, fire-safety and building-physics domains, not just buildings.</w:t>
      </w:r>
    </w:p>
    <w:p>
      <w:pPr>
        <w:spacing w:before="280" w:after="120"/>
        <w:pBdr>
          <w:bottom w:val="single" w:sz="8" w:space="2" w:color="C41230"/>
        </w:pBdr>
      </w:pPr>
      <w:r>
        <w:rPr>
          <w:rFonts w:ascii="Calibri" w:hAnsi="Calibri"/>
          <w:b/>
          <w:i w:val="0"/>
          <w:color w:val="C41230"/>
          <w:sz w:val="20"/>
        </w:rPr>
        <w:t>PROFESSIONAL EXPERIENCE</w:t>
      </w:r>
    </w:p>
    <w:p>
      <w:pPr>
        <w:spacing w:before="160" w:after="40"/>
      </w:pPr>
      <w:r>
        <w:rPr>
          <w:rFonts w:ascii="Calibri" w:hAnsi="Calibri"/>
          <w:b/>
          <w:i w:val="0"/>
          <w:color w:val="1A1A1A"/>
          <w:sz w:val="20"/>
        </w:rPr>
        <w:t>Co-Perform — Principal</w:t>
      </w:r>
      <w:r>
        <w:rPr>
          <w:rFonts w:ascii="Calibri" w:hAnsi="Calibri"/>
          <w:b w:val="0"/>
          <w:i w:val="0"/>
          <w:color w:val="555555"/>
          <w:sz w:val="18"/>
        </w:rPr>
        <w:tab/>
        <w:t>Jul 2018 - Aug 2026, Melbourne</w:t>
      </w:r>
    </w:p>
    <w:p>
      <w:pPr>
        <w:spacing w:after="140"/>
      </w:pPr>
      <w:r>
        <w:rPr>
          <w:rFonts w:ascii="Calibri" w:hAnsi="Calibri"/>
          <w:b w:val="0"/>
          <w:i w:val="0"/>
          <w:color w:val="1A1A1A"/>
          <w:sz w:val="20"/>
        </w:rPr>
        <w:t>Led digital workflow engineering, building physics advisory and sustainability strategy across the built environment; designed local-first data pipelines and automation tools that removed friction from daily operations, document processing and compliance. Co-directed the practice through to August 2026, before stepping back to pursue Director-level opportunities in climate resilience and building performance; Co-Perform continues under my former co-director.</w:t>
      </w:r>
    </w:p>
    <w:p>
      <w:pPr>
        <w:spacing w:before="160" w:after="40"/>
      </w:pPr>
      <w:r>
        <w:rPr>
          <w:rFonts w:ascii="Calibri" w:hAnsi="Calibri"/>
          <w:b/>
          <w:i w:val="0"/>
          <w:color w:val="1A1A1A"/>
          <w:sz w:val="20"/>
        </w:rPr>
        <w:t>Arup — Senior Consulting Engineer</w:t>
      </w:r>
      <w:r>
        <w:rPr>
          <w:rFonts w:ascii="Calibri" w:hAnsi="Calibri"/>
          <w:b w:val="0"/>
          <w:i w:val="0"/>
          <w:color w:val="555555"/>
          <w:sz w:val="18"/>
        </w:rPr>
        <w:tab/>
        <w:t>Sep 2005 - Aug 2014, Melbourne</w:t>
      </w:r>
    </w:p>
    <w:p>
      <w:pPr>
        <w:spacing w:after="140"/>
      </w:pPr>
      <w:r>
        <w:rPr>
          <w:rFonts w:ascii="Calibri" w:hAnsi="Calibri"/>
          <w:b w:val="0"/>
          <w:i w:val="0"/>
          <w:color w:val="1A1A1A"/>
          <w:sz w:val="20"/>
        </w:rPr>
        <w:t>Held the formal title of Australasian Building Physics Lead, with two direct reports and informal technical influence across a wider group of analysts embedded in other teams throughout APAC; owned the practice's simulation infrastructure and developed bespoke software and analytical workflows informing building performance decisions on major infrastructure and commercial developments.</w:t>
      </w:r>
    </w:p>
    <w:p>
      <w:pPr>
        <w:spacing w:before="160" w:after="40"/>
      </w:pPr>
      <w:r>
        <w:rPr>
          <w:rFonts w:ascii="Calibri" w:hAnsi="Calibri"/>
          <w:b/>
          <w:i w:val="0"/>
          <w:color w:val="1A1A1A"/>
          <w:sz w:val="20"/>
        </w:rPr>
        <w:t>Moreland Energy Foundation — Senior Consultant</w:t>
      </w:r>
      <w:r>
        <w:rPr>
          <w:rFonts w:ascii="Calibri" w:hAnsi="Calibri"/>
          <w:b w:val="0"/>
          <w:i w:val="0"/>
          <w:color w:val="555555"/>
          <w:sz w:val="18"/>
        </w:rPr>
        <w:tab/>
        <w:t>Sep 2014 - Jul 2018, Melbourne</w:t>
      </w:r>
    </w:p>
    <w:p>
      <w:pPr>
        <w:spacing w:after="140"/>
      </w:pPr>
      <w:r>
        <w:rPr>
          <w:rFonts w:ascii="Calibri" w:hAnsi="Calibri"/>
          <w:b w:val="0"/>
          <w:i w:val="0"/>
          <w:color w:val="1A1A1A"/>
          <w:sz w:val="20"/>
        </w:rPr>
        <w:t>Senior Consultant at Moreland Energy Foundation, advising on passive design, energy-efficient technologies, rooftop solar and storage integration — building custom engineering simulations, software tools and data visualisations. Also served as an Advisory Board Member for the Building Designers Association of Victoria's Energy &amp; Sustainability Hub (2015–2018). Concurrent with running Visergy.</w:t>
      </w:r>
    </w:p>
    <w:p>
      <w:pPr>
        <w:spacing w:before="160" w:after="40"/>
      </w:pPr>
      <w:r>
        <w:rPr>
          <w:rFonts w:ascii="Calibri" w:hAnsi="Calibri"/>
          <w:b/>
          <w:i w:val="0"/>
          <w:color w:val="1A1A1A"/>
          <w:sz w:val="20"/>
        </w:rPr>
        <w:t>Visergy — Principal / Sole Trader</w:t>
      </w:r>
      <w:r>
        <w:rPr>
          <w:rFonts w:ascii="Calibri" w:hAnsi="Calibri"/>
          <w:b w:val="0"/>
          <w:i w:val="0"/>
          <w:color w:val="555555"/>
          <w:sz w:val="18"/>
        </w:rPr>
        <w:tab/>
        <w:t>Sep 2014 - Jul 2018, Melbourne</w:t>
      </w:r>
    </w:p>
    <w:p>
      <w:pPr>
        <w:spacing w:after="140"/>
      </w:pPr>
      <w:r>
        <w:rPr>
          <w:rFonts w:ascii="Calibri" w:hAnsi="Calibri"/>
          <w:b w:val="0"/>
          <w:i w:val="0"/>
          <w:color w:val="1A1A1A"/>
          <w:sz w:val="20"/>
        </w:rPr>
        <w:t>Operated as an independent sole trader under Visergy, delivering performance-based design support for town planning and building approvals (energy, daylight and thermal simulation) as a sub-consultant to ESD engineering firms — concurrent with a Senior Consultant role at Moreland Energy Foundation.</w:t>
      </w:r>
    </w:p>
    <w:p>
      <w:pPr>
        <w:spacing w:before="280" w:after="120"/>
        <w:pBdr>
          <w:bottom w:val="single" w:sz="8" w:space="2" w:color="C41230"/>
        </w:pBdr>
      </w:pPr>
      <w:r>
        <w:rPr>
          <w:rFonts w:ascii="Calibri" w:hAnsi="Calibri"/>
          <w:b/>
          <w:i w:val="0"/>
          <w:color w:val="C41230"/>
          <w:sz w:val="20"/>
        </w:rPr>
        <w:t>SELECTED PROJECT HIGHLIGHTS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Resilient Housing Prototype (State Government) — built a digital twin using spliced BOM heatwave data to stress-test a building envelope ahead of construction, informing a completed climate-adaptive housing prototype.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Future Climate Weather File Application &amp; Stress Testing — applied synthetic future-climate weather files to dynamic energy models, quantifying HVAC load and overheating risk in free-running buildings for adaptation planning and ESG reporting.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City of Melbourne Sustainable Building Standards &amp; Resilient Refuges Strategy — technical sub-consultant helping identify a set of building specifications and an upgrade program to make existing council buildings more resilient to bushfire smoke and heatwaves.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Enterprise Reporting &amp; Documentation Engine — designed a data-to-deliverable pipeline (Knack database, PyLaTeX typesetting, containerised batch queuing) replacing manual assembly across ~10 technical reporting types.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BESS Digital Twin for Local Government — wrapped NREL's SAM engine in a containerised Python application to right-size battery storage and test financial viability against tariff structures.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Low-Income Public Housing Retrofit Platform — built a mobile-first Zoho data-collection framework combining building condition, occupant feedback and billing data to prioritise state-funded retrofits for vulnerable tenants.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Physics-Informed ML Surrogate Model — trained regression models against multi-zone thermal simulations to cut dynamic building-performance prediction from minutes to milliseconds.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2.5D-to-3D Computational Geometry Engine — built a procedural pipeline turning 2.5D building plan definitions into watertight, simulation-ready 3D geometry near-instantaneously, without reliance on full 3D CAD workflows.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Victorian Local Government Technical Capacity Building (MAV/CASBE) — designed and delivered training for Victorian sustainability planners on auditing energy-modelling submissions, and contributed to refining the Built Environment Sustainability Scorecard (BESS) framework.</w:t>
      </w:r>
    </w:p>
    <w:p>
      <w:pPr>
        <w:spacing w:before="280" w:after="120"/>
        <w:pBdr>
          <w:bottom w:val="single" w:sz="8" w:space="2" w:color="C41230"/>
        </w:pBdr>
      </w:pPr>
      <w:r>
        <w:rPr>
          <w:rFonts w:ascii="Calibri" w:hAnsi="Calibri"/>
          <w:b/>
          <w:i w:val="0"/>
          <w:color w:val="C41230"/>
          <w:sz w:val="20"/>
        </w:rPr>
        <w:t>TECHNICAL &amp; DOMAIN EXPERTISE</w:t>
      </w:r>
    </w:p>
    <w:p>
      <w:pPr>
        <w:spacing w:after="140"/>
      </w:pPr>
      <w:r>
        <w:rPr>
          <w:rFonts w:ascii="Calibri" w:hAnsi="Calibri"/>
          <w:b w:val="0"/>
          <w:i w:val="0"/>
          <w:color w:val="1A1A1A"/>
          <w:sz w:val="20"/>
        </w:rPr>
        <w:t>Climate Resilience &amp; Adaptation · Regulatory &amp; Rating Frameworks (Green Star, NABERS, NCC Part J, BESS, JV3) · Thermal Dynamics &amp; Building Physics · Fluid Dynamics &amp; Atmospheric Flow · Energy Systems &amp; Infrastructure · Critical Infrastructure &amp; Transport · Offshore &amp; Marine Engineering</w:t>
      </w:r>
    </w:p>
    <w:p>
      <w:pPr>
        <w:spacing w:before="280" w:after="120"/>
        <w:pBdr>
          <w:bottom w:val="single" w:sz="8" w:space="2" w:color="C41230"/>
        </w:pBdr>
      </w:pPr>
      <w:r>
        <w:rPr>
          <w:rFonts w:ascii="Calibri" w:hAnsi="Calibri"/>
          <w:b/>
          <w:i w:val="0"/>
          <w:color w:val="C41230"/>
          <w:sz w:val="20"/>
        </w:rPr>
        <w:t>CREDENTIALS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NABERS Upfront Carbon Accredited Assessor (2026)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Advisory Board Member, Energy &amp; Sustainability Hub — Building Designers Association of Victoria (2015–2018)</w:t>
      </w:r>
    </w:p>
    <w:p>
      <w:pPr>
        <w:spacing w:before="280" w:after="120"/>
        <w:pBdr>
          <w:bottom w:val="single" w:sz="8" w:space="2" w:color="C41230"/>
        </w:pBdr>
      </w:pPr>
      <w:r>
        <w:rPr>
          <w:rFonts w:ascii="Calibri" w:hAnsi="Calibri"/>
          <w:b/>
          <w:i w:val="0"/>
          <w:color w:val="C41230"/>
          <w:sz w:val="20"/>
        </w:rPr>
        <w:t>EDUCATION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Master of Urban Planning and Environment — RMIT University (2009–2014)</w:t>
      </w:r>
    </w:p>
    <w:p>
      <w:pPr>
        <w:pStyle w:val="ListBullet"/>
        <w:spacing w:after="80"/>
      </w:pPr>
      <w:r>
        <w:rPr>
          <w:rFonts w:ascii="Calibri" w:hAnsi="Calibri"/>
          <w:color w:val="1A1A1A"/>
          <w:sz w:val="20"/>
        </w:rPr>
        <w:t>Bachelor of Engineering (Aerospace) — RMIT University (1991–1995)</w:t>
      </w:r>
    </w:p>
    <w:sectPr w:rsidR="00FC693F" w:rsidRPr="0006063C" w:rsidSect="00034616">
      <w:pgSz w:w="12240" w:h="15840"/>
      <w:pgMar w:top="720" w:right="900" w:bottom="72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