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C41230"/>
          <w:sz w:val="40"/>
        </w:rPr>
        <w:t>JON MORGAN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Systems Architect — Climate Resilience &amp; Building Performance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18"/>
        </w:rPr>
        <w:t>jonmorgan@fastmail.com   |   0429 357 751   |   linkedin.com/in/linkjonmorgan   |   Melbourne, Australia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Systems architect and engineer with close to 30 years' experience helping built-environment leaders navigate physical and climate risk — spanning applied building physics, environmental engineering, and full-stack software development. Co-directed an independent consulting practice while designing local-first computational tools that stress-test assets and decisions against a changing climate. Comfortable owning a problem end-to-end — from the physics, to the data pipeline, to the interface a client actually uses.</w:t>
      </w:r>
    </w:p>
    <w:p>
      <w:pPr>
        <w:spacing w:after="140"/>
      </w:pPr>
      <w:r>
        <w:rPr>
          <w:rFonts w:ascii="Calibri" w:hAnsi="Calibri"/>
          <w:b w:val="0"/>
          <w:i/>
          <w:color w:val="1A1A1A"/>
          <w:sz w:val="20"/>
        </w:rPr>
        <w:t>“Climate change is outpacing the built environment's ability to adapt. Meeting that gap takes systems thinking and rigorous engineering — translating physical risk into decisions that protect the people and assets exposed to it.”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Target roles: Director / Principal — Climate Resilience &amp; Building Performance · Sustainability Leadership · Systems Architecture &amp; Digital Twin Advisory · Independent or Associate Consultant</w:t>
      </w:r>
    </w:p>
    <w:p>
      <w:pPr>
        <w:spacing w:before="280" w:after="120"/>
        <w:pBdr>
          <w:bottom w:val="single" w:sz="8" w:space="2" w:color="C41230"/>
        </w:pBdr>
      </w:pPr>
      <w:r>
        <w:rPr>
          <w:rFonts w:ascii="Calibri" w:hAnsi="Calibri"/>
          <w:b/>
          <w:i w:val="0"/>
          <w:color w:val="C41230"/>
          <w:sz w:val="20"/>
        </w:rPr>
        <w:t>CORE COMPETENCIES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Climate Resilience &amp; Adaptation — deep technical grounding in heat and wind-driven building physics: heatwave stress-testing, thermal comfort modelling, and CFD/wind-tunnel analysis feeding into major architectural and structural design decisions.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Commercial &amp; Operational Ownership — co-ran an independent ESD consulting practice for nearly a decade, closely involved in service-line profitability, cost management, strategy, branding and team leadership.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Systems Architecture &amp; Full-Stack Development — architects and builds custom software end-to-end, spanning UI, data pipelines, containerisation and local-first DevOps.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Physical Systems Simulation &amp; Analytics — decades of engineering work modelling fluid dynamics, thermal physics and environmental mechanics against physical reality.</w:t>
      </w:r>
    </w:p>
    <w:p>
      <w:pPr>
        <w:spacing w:before="280" w:after="120"/>
        <w:pBdr>
          <w:bottom w:val="single" w:sz="8" w:space="2" w:color="C41230"/>
        </w:pBdr>
      </w:pPr>
      <w:r>
        <w:rPr>
          <w:rFonts w:ascii="Calibri" w:hAnsi="Calibri"/>
          <w:b/>
          <w:i w:val="0"/>
          <w:color w:val="C41230"/>
          <w:sz w:val="20"/>
        </w:rPr>
        <w:t>PROFESSIONAL EXPERIENCE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</w:rPr>
        <w:t>Co-Perform — Principal</w:t>
      </w:r>
      <w:r>
        <w:rPr>
          <w:rFonts w:ascii="Calibri" w:hAnsi="Calibri"/>
          <w:b w:val="0"/>
          <w:i w:val="0"/>
          <w:color w:val="555555"/>
          <w:sz w:val="18"/>
        </w:rPr>
        <w:tab/>
        <w:t>Jul 2018 - Aug 2026, Melbourne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Led digital workflow engineering, building physics advisory and sustainability strategy across the built environment; designed local-first data pipelines and automation tools that removed friction from daily operations, document processing and compliance. Co-directed the practice through to August 2026, before stepping back to pursue Director-level opportunities in climate resilience and building performance; Co-Perform continues under my former co-director.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</w:rPr>
        <w:t>Arup — Senior Consulting Engineer</w:t>
      </w:r>
      <w:r>
        <w:rPr>
          <w:rFonts w:ascii="Calibri" w:hAnsi="Calibri"/>
          <w:b w:val="0"/>
          <w:i w:val="0"/>
          <w:color w:val="555555"/>
          <w:sz w:val="18"/>
        </w:rPr>
        <w:tab/>
        <w:t>Sep 2005 - Aug 2014, Melbourne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Held the formal title of Australasian Building Physics Lead, with two direct reports and informal technical influence across a wider group of analysts embedded in other teams throughout APAC; owned the practice's simulation infrastructure and developed bespoke software and analytical workflows informing building performance decisions on major infrastructure and commercial developments.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</w:rPr>
        <w:t>Moreland Energy Foundation — Senior Consultant</w:t>
      </w:r>
      <w:r>
        <w:rPr>
          <w:rFonts w:ascii="Calibri" w:hAnsi="Calibri"/>
          <w:b w:val="0"/>
          <w:i w:val="0"/>
          <w:color w:val="555555"/>
          <w:sz w:val="18"/>
        </w:rPr>
        <w:tab/>
        <w:t>Sep 2014 - Jul 2018, Melbourne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Senior Consultant at Moreland Energy Foundation, advising on passive design, energy-efficient technologies, rooftop solar and storage integration — building custom engineering simulations, software tools and data visualisations. Also served as an Advisory Board Member for the Building Designers Association of Victoria's Energy &amp; Sustainability Hub (2015–2018). Concurrent with running Visergy.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</w:rPr>
        <w:t>Visergy — Principal / Sole Trader</w:t>
      </w:r>
      <w:r>
        <w:rPr>
          <w:rFonts w:ascii="Calibri" w:hAnsi="Calibri"/>
          <w:b w:val="0"/>
          <w:i w:val="0"/>
          <w:color w:val="555555"/>
          <w:sz w:val="18"/>
        </w:rPr>
        <w:tab/>
        <w:t>Sep 2014 - Jul 2018, Melbourne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Operated as an independent sole trader under Visergy, delivering performance-based design support for town planning and building approvals (energy, daylight and thermal simulation) as a sub-consultant to ESD engineering firms — concurrent with a Senior Consultant role at Moreland Energy Foundation.</w:t>
      </w:r>
    </w:p>
    <w:p>
      <w:pPr>
        <w:spacing w:before="280" w:after="120"/>
        <w:pBdr>
          <w:bottom w:val="single" w:sz="8" w:space="2" w:color="C41230"/>
        </w:pBdr>
      </w:pPr>
      <w:r>
        <w:rPr>
          <w:rFonts w:ascii="Calibri" w:hAnsi="Calibri"/>
          <w:b/>
          <w:i w:val="0"/>
          <w:color w:val="C41230"/>
          <w:sz w:val="20"/>
        </w:rPr>
        <w:t>SELECTED PROJECT HIGHLIGHTS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Resilient Housing Prototype (State Government) — built a digital twin using spliced BOM heatwave data to stress-test a building envelope ahead of construction, informing a completed climate-adaptive housing prototype.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Future Climate Weather File Application &amp; Stress Testing — applied synthetic future-climate weather files to dynamic energy models, quantifying HVAC load and overheating risk in free-running buildings for adaptation planning and ESG reporting.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City of Melbourne Sustainable Building Standards &amp; Resilient Refuges Strategy — technical sub-consultant helping identify a set of building specifications and an upgrade program to make existing council buildings more resilient to bushfire smoke and heatwaves.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Enterprise Reporting &amp; Documentation Engine — designed a data-to-deliverable pipeline (Knack database, PyLaTeX typesetting, containerised batch queuing) replacing manual assembly across ~10 technical reporting types.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BESS Digital Twin for Local Government — wrapped NREL's SAM engine in a containerised Python application to right-size battery storage and test financial viability against tariff structures.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Low-Income Public Housing Retrofit Platform — built a mobile-first Zoho data-collection framework combining building condition, occupant feedback and billing data to prioritise state-funded retrofits for vulnerable tenants.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Physics-Informed ML Surrogate Model — trained regression models against multi-zone thermal simulations to cut dynamic building-performance prediction from minutes to milliseconds.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2.5D-to-3D Computational Geometry Engine — built a procedural pipeline turning 2.5D building plan definitions into watertight, simulation-ready 3D geometry near-instantaneously, without reliance on full 3D CAD workflows.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Victorian Local Government Technical Capacity Building (MAV/CASBE) — designed and delivered training for Victorian sustainability planners on auditing energy-modelling submissions, and contributed to refining the Built Environment Sustainability Scorecard (BESS) framework.</w:t>
      </w:r>
    </w:p>
    <w:p>
      <w:pPr>
        <w:spacing w:before="280" w:after="120"/>
        <w:pBdr>
          <w:bottom w:val="single" w:sz="8" w:space="2" w:color="C41230"/>
        </w:pBdr>
      </w:pPr>
      <w:r>
        <w:rPr>
          <w:rFonts w:ascii="Calibri" w:hAnsi="Calibri"/>
          <w:b/>
          <w:i w:val="0"/>
          <w:color w:val="C41230"/>
          <w:sz w:val="20"/>
        </w:rPr>
        <w:t>TECHNICAL &amp; DOMAIN EXPERTISE</w:t>
      </w:r>
    </w:p>
    <w:p>
      <w:pPr>
        <w:spacing w:after="140"/>
      </w:pPr>
      <w:r>
        <w:rPr>
          <w:rFonts w:ascii="Calibri" w:hAnsi="Calibri"/>
          <w:b w:val="0"/>
          <w:i w:val="0"/>
          <w:color w:val="1A1A1A"/>
          <w:sz w:val="20"/>
        </w:rPr>
        <w:t>Climate Resilience &amp; Adaptation · Thermal Dynamics &amp; Building Physics · Fluid Dynamics &amp; Atmospheric Flow · Energy Systems &amp; Infrastructure · Critical Infrastructure &amp; Transport · Offshore &amp; Marine Engineering</w:t>
      </w:r>
    </w:p>
    <w:p>
      <w:pPr>
        <w:spacing w:before="280" w:after="120"/>
        <w:pBdr>
          <w:bottom w:val="single" w:sz="8" w:space="2" w:color="C41230"/>
        </w:pBdr>
      </w:pPr>
      <w:r>
        <w:rPr>
          <w:rFonts w:ascii="Calibri" w:hAnsi="Calibri"/>
          <w:b/>
          <w:i w:val="0"/>
          <w:color w:val="C41230"/>
          <w:sz w:val="20"/>
        </w:rPr>
        <w:t>CREDENTIALS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NABERS Upfront Carbon Accredited Assessor (2026)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Advisory Board Member, Energy &amp; Sustainability Hub — Building Designers Association of Victoria (2015–2018)</w:t>
      </w:r>
    </w:p>
    <w:p>
      <w:pPr>
        <w:spacing w:before="280" w:after="120"/>
        <w:pBdr>
          <w:bottom w:val="single" w:sz="8" w:space="2" w:color="C41230"/>
        </w:pBdr>
      </w:pPr>
      <w:r>
        <w:rPr>
          <w:rFonts w:ascii="Calibri" w:hAnsi="Calibri"/>
          <w:b/>
          <w:i w:val="0"/>
          <w:color w:val="C41230"/>
          <w:sz w:val="20"/>
        </w:rPr>
        <w:t>EDUCATION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Master of Urban Planning and Environment — RMIT University (2009–2014)</w:t>
      </w:r>
    </w:p>
    <w:p>
      <w:pPr>
        <w:pStyle w:val="ListBullet"/>
        <w:spacing w:after="80"/>
      </w:pPr>
      <w:r>
        <w:rPr>
          <w:rFonts w:ascii="Calibri" w:hAnsi="Calibri"/>
          <w:color w:val="1A1A1A"/>
          <w:sz w:val="20"/>
        </w:rPr>
        <w:t>Bachelor of Engineering (Aerospace) — RMIT University (1991–1995)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