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2">
      <w:pPr>
        <w:spacing w:after="0" w:line="24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Analytics Capstone Topic Approval Form</w:t>
      </w:r>
    </w:p>
    <w:p w:rsidR="00000000" w:rsidDel="00000000" w:rsidP="00000000" w:rsidRDefault="00000000" w:rsidRPr="00000000" w14:paraId="00000003">
      <w:pPr>
        <w:spacing w:after="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4">
      <w:pPr>
        <w:spacing w:after="0" w:line="240" w:lineRule="auto"/>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Student Name: </w:t>
      </w:r>
      <w:r w:rsidDel="00000000" w:rsidR="00000000" w:rsidRPr="00000000">
        <w:rPr>
          <w:rFonts w:ascii="Verdana" w:cs="Verdana" w:eastAsia="Verdana" w:hAnsi="Verdana"/>
          <w:sz w:val="20"/>
          <w:szCs w:val="20"/>
          <w:rtl w:val="0"/>
        </w:rPr>
        <w:t xml:space="preserve">Jonathan DiQuattro</w:t>
      </w:r>
    </w:p>
    <w:p w:rsidR="00000000" w:rsidDel="00000000" w:rsidP="00000000" w:rsidRDefault="00000000" w:rsidRPr="00000000" w14:paraId="00000006">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7">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Student ID: </w:t>
      </w:r>
      <w:r w:rsidDel="00000000" w:rsidR="00000000" w:rsidRPr="00000000">
        <w:rPr>
          <w:rFonts w:ascii="Verdana" w:cs="Verdana" w:eastAsia="Verdana" w:hAnsi="Verdana"/>
          <w:sz w:val="20"/>
          <w:szCs w:val="20"/>
          <w:rtl w:val="0"/>
        </w:rPr>
        <w:t xml:space="preserve">  000844751</w:t>
      </w:r>
    </w:p>
    <w:p w:rsidR="00000000" w:rsidDel="00000000" w:rsidP="00000000" w:rsidRDefault="00000000" w:rsidRPr="00000000" w14:paraId="00000008">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9">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Capstone Project Name:</w:t>
      </w:r>
      <w:r w:rsidDel="00000000" w:rsidR="00000000" w:rsidRPr="00000000">
        <w:rPr>
          <w:rFonts w:ascii="Verdana" w:cs="Verdana" w:eastAsia="Verdana" w:hAnsi="Verdana"/>
          <w:sz w:val="20"/>
          <w:szCs w:val="20"/>
          <w:rtl w:val="0"/>
        </w:rPr>
        <w:t xml:space="preserve"> Multi Variable Analysis of Arkansas Mortgage Data.</w:t>
      </w:r>
    </w:p>
    <w:p w:rsidR="00000000" w:rsidDel="00000000" w:rsidP="00000000" w:rsidRDefault="00000000" w:rsidRPr="00000000" w14:paraId="0000000A">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B">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Project Topic</w:t>
      </w:r>
      <w:r w:rsidDel="00000000" w:rsidR="00000000" w:rsidRPr="00000000">
        <w:rPr>
          <w:rFonts w:ascii="Verdana" w:cs="Verdana" w:eastAsia="Verdana" w:hAnsi="Verdana"/>
          <w:sz w:val="20"/>
          <w:szCs w:val="20"/>
          <w:rtl w:val="0"/>
        </w:rPr>
        <w:t xml:space="preserve">: Binary Regression of Arkansas Mortgage Data.</w:t>
      </w:r>
    </w:p>
    <w:p w:rsidR="00000000" w:rsidDel="00000000" w:rsidP="00000000" w:rsidRDefault="00000000" w:rsidRPr="00000000" w14:paraId="0000000C">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Verdana" w:cs="Verdana" w:eastAsia="Verdana" w:hAnsi="Verdana"/>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This project does not involve human subjects research and is exempt from WGU IRB review.</w:t>
      </w:r>
      <w:r w:rsidDel="00000000" w:rsidR="00000000" w:rsidRPr="00000000">
        <w:rPr>
          <w:rtl w:val="0"/>
        </w:rPr>
      </w:r>
    </w:p>
    <w:p w:rsidR="00000000" w:rsidDel="00000000" w:rsidP="00000000" w:rsidRDefault="00000000" w:rsidRPr="00000000" w14:paraId="0000000E">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F">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0">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Research Question: </w:t>
      </w:r>
      <w:r w:rsidDel="00000000" w:rsidR="00000000" w:rsidRPr="00000000">
        <w:rPr>
          <w:rFonts w:ascii="Verdana" w:cs="Verdana" w:eastAsia="Verdana" w:hAnsi="Verdana"/>
          <w:sz w:val="20"/>
          <w:szCs w:val="20"/>
          <w:rtl w:val="0"/>
        </w:rPr>
        <w:t xml:space="preserve">To what extent do the independent variables predict approved loans?</w:t>
      </w:r>
    </w:p>
    <w:p w:rsidR="00000000" w:rsidDel="00000000" w:rsidP="00000000" w:rsidRDefault="00000000" w:rsidRPr="00000000" w14:paraId="00000011">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2">
      <w:pPr>
        <w:spacing w:after="0" w:line="240" w:lineRule="auto"/>
        <w:ind w:left="36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Hypothesis</w:t>
      </w:r>
      <w:r w:rsidDel="00000000" w:rsidR="00000000" w:rsidRPr="00000000">
        <w:rPr>
          <w:rFonts w:ascii="Verdana" w:cs="Verdana" w:eastAsia="Verdana" w:hAnsi="Verdana"/>
          <w:sz w:val="20"/>
          <w:szCs w:val="20"/>
          <w:rtl w:val="0"/>
        </w:rPr>
        <w:t xml:space="preserve">: H</w:t>
      </w:r>
      <w:r w:rsidDel="00000000" w:rsidR="00000000" w:rsidRPr="00000000">
        <w:rPr>
          <w:rFonts w:ascii="Verdana" w:cs="Verdana" w:eastAsia="Verdana" w:hAnsi="Verdana"/>
          <w:sz w:val="20"/>
          <w:szCs w:val="20"/>
          <w:vertAlign w:val="subscript"/>
          <w:rtl w:val="0"/>
        </w:rPr>
        <w:t xml:space="preserve">0</w:t>
      </w:r>
      <w:r w:rsidDel="00000000" w:rsidR="00000000" w:rsidRPr="00000000">
        <w:rPr>
          <w:rFonts w:ascii="Verdana" w:cs="Verdana" w:eastAsia="Verdana" w:hAnsi="Verdana"/>
          <w:sz w:val="20"/>
          <w:szCs w:val="20"/>
          <w:rtl w:val="0"/>
        </w:rPr>
        <w:t xml:space="preserve">: There is no statistically significant relationships between the independent variables and approved loans.</w:t>
      </w:r>
    </w:p>
    <w:p w:rsidR="00000000" w:rsidDel="00000000" w:rsidP="00000000" w:rsidRDefault="00000000" w:rsidRPr="00000000" w14:paraId="00000013">
      <w:pPr>
        <w:spacing w:after="0" w:line="240" w:lineRule="auto"/>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tab/>
      </w:r>
    </w:p>
    <w:p w:rsidR="00000000" w:rsidDel="00000000" w:rsidP="00000000" w:rsidRDefault="00000000" w:rsidRPr="00000000" w14:paraId="00000014">
      <w:pPr>
        <w:spacing w:after="0" w:line="24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H</w:t>
      </w:r>
      <w:r w:rsidDel="00000000" w:rsidR="00000000" w:rsidRPr="00000000">
        <w:rPr>
          <w:rFonts w:ascii="Verdana" w:cs="Verdana" w:eastAsia="Verdana" w:hAnsi="Verdana"/>
          <w:sz w:val="20"/>
          <w:szCs w:val="20"/>
          <w:vertAlign w:val="subscript"/>
          <w:rtl w:val="0"/>
        </w:rPr>
        <w:t xml:space="preserve">1</w:t>
      </w:r>
      <w:r w:rsidDel="00000000" w:rsidR="00000000" w:rsidRPr="00000000">
        <w:rPr>
          <w:rFonts w:ascii="Verdana" w:cs="Verdana" w:eastAsia="Verdana" w:hAnsi="Verdana"/>
          <w:sz w:val="20"/>
          <w:szCs w:val="20"/>
          <w:rtl w:val="0"/>
        </w:rPr>
        <w:t xml:space="preserve">: There is a statistically significant relationships between the independent variables and approved loans.</w:t>
      </w:r>
    </w:p>
    <w:p w:rsidR="00000000" w:rsidDel="00000000" w:rsidP="00000000" w:rsidRDefault="00000000" w:rsidRPr="00000000" w14:paraId="00000015">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Context:</w:t>
      </w:r>
      <w:r w:rsidDel="00000000" w:rsidR="00000000" w:rsidRPr="00000000">
        <w:rPr>
          <w:rFonts w:ascii="Verdana" w:cs="Verdana" w:eastAsia="Verdana" w:hAnsi="Verdana"/>
          <w:i w:val="1"/>
          <w:sz w:val="20"/>
          <w:szCs w:val="20"/>
          <w:rtl w:val="0"/>
        </w:rPr>
        <w:t xml:space="preserv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The purpose of this study is to contribute to the field of Data Analytics by analyzing the relationship between multiple variables of the data set to gain an understanding of how and if different aspects of the data might influence the decision to approve or disapprove loan applicants. Minorities may often face an uphill battle in securing home loans across the country (DeSilver &amp; Bialik, 2017), and this study hopes to analyze data from Arkansas state to bring awareness to current loan practices, and to give consumers confidence in applying for loans.</w:t>
      </w:r>
    </w:p>
    <w:p w:rsidR="00000000" w:rsidDel="00000000" w:rsidP="00000000" w:rsidRDefault="00000000" w:rsidRPr="00000000" w14:paraId="00000017">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8">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w:t>
      </w:r>
      <w:r w:rsidDel="00000000" w:rsidR="00000000" w:rsidRPr="00000000">
        <w:rPr>
          <w:rFonts w:ascii="Verdana" w:cs="Verdana" w:eastAsia="Verdana" w:hAnsi="Verdana"/>
          <w:sz w:val="20"/>
          <w:szCs w:val="20"/>
          <w:rtl w:val="0"/>
        </w:rPr>
        <w:t xml:space="preserve">The data being analyzed is made publicly available through the Consumer Financial Protection Bureau, and is distributed to fulfill the mission of the  CFPB as stated on their website  “The CFPB implements and enforces federal consumer financial laws to ensure that all consumers have access to markets for consumer financial products and services that are fair, transparent, and competitive” This dataset can be found at the CFPB website: </w:t>
      </w:r>
    </w:p>
    <w:p w:rsidR="00000000" w:rsidDel="00000000" w:rsidP="00000000" w:rsidRDefault="00000000" w:rsidRPr="00000000" w14:paraId="00000019">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https://www.consumerfinance.gov/data-research/hmda/historic-data/?geo=ar&amp;records=all-records&amp;field_descriptions=labels</w:t>
      </w:r>
    </w:p>
    <w:p w:rsidR="00000000" w:rsidDel="00000000" w:rsidP="00000000" w:rsidRDefault="00000000" w:rsidRPr="00000000" w14:paraId="0000001B">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set contains 125,392 rows of consumer mortgage applications, and consists of the following fields and types:</w:t>
      </w:r>
    </w:p>
    <w:p w:rsidR="00000000" w:rsidDel="00000000" w:rsidP="00000000" w:rsidRDefault="00000000" w:rsidRPr="00000000" w14:paraId="0000001D">
      <w:pPr>
        <w:spacing w:after="0" w:lin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spacing w:after="0" w:line="240" w:lineRule="auto"/>
        <w:ind w:left="360" w:firstLine="0"/>
        <w:rPr>
          <w:rFonts w:ascii="Verdana" w:cs="Verdana" w:eastAsia="Verdana" w:hAnsi="Verdana"/>
          <w:sz w:val="20"/>
          <w:szCs w:val="20"/>
        </w:rPr>
      </w:pPr>
      <w:r w:rsidDel="00000000" w:rsidR="00000000" w:rsidRPr="00000000">
        <w:rPr>
          <w:rtl w:val="0"/>
        </w:rPr>
      </w:r>
    </w:p>
    <w:tbl>
      <w:tblPr>
        <w:tblStyle w:val="Table1"/>
        <w:tblW w:w="6135.0" w:type="dxa"/>
        <w:jc w:val="left"/>
        <w:tblInd w:w="-15.0" w:type="dxa"/>
        <w:tblLayout w:type="fixed"/>
        <w:tblLook w:val="0400"/>
      </w:tblPr>
      <w:tblGrid>
        <w:gridCol w:w="3525"/>
        <w:gridCol w:w="2610"/>
        <w:tblGridChange w:id="0">
          <w:tblGrid>
            <w:gridCol w:w="3525"/>
            <w:gridCol w:w="2610"/>
          </w:tblGrid>
        </w:tblGridChange>
      </w:tblGrid>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4472c4" w:val="clear"/>
            <w:vAlign w:val="bottom"/>
          </w:tcPr>
          <w:p w:rsidR="00000000" w:rsidDel="00000000" w:rsidP="00000000" w:rsidRDefault="00000000" w:rsidRPr="00000000" w14:paraId="0000001F">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Field</w:t>
            </w:r>
          </w:p>
        </w:tc>
        <w:tc>
          <w:tcPr>
            <w:tcBorders>
              <w:top w:color="8ea9db" w:space="0" w:sz="4" w:val="single"/>
              <w:left w:color="000000" w:space="0" w:sz="0" w:val="nil"/>
              <w:bottom w:color="8ea9db" w:space="0" w:sz="4" w:val="single"/>
              <w:right w:color="8ea9db" w:space="0" w:sz="4" w:val="single"/>
            </w:tcBorders>
            <w:shd w:fill="4472c4" w:val="clear"/>
            <w:vAlign w:val="bottom"/>
          </w:tcPr>
          <w:p w:rsidR="00000000" w:rsidDel="00000000" w:rsidP="00000000" w:rsidRDefault="00000000" w:rsidRPr="00000000" w14:paraId="00000020">
            <w:pPr>
              <w:spacing w:after="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21">
            <w:pPr>
              <w:spacing w:after="0" w:line="240" w:lineRule="auto"/>
              <w:rPr>
                <w:rFonts w:ascii="Calibri" w:cs="Calibri" w:eastAsia="Calibri" w:hAnsi="Calibri"/>
                <w:color w:val="000000"/>
              </w:rPr>
            </w:pPr>
            <w:r w:rsidDel="00000000" w:rsidR="00000000" w:rsidRPr="00000000">
              <w:rPr>
                <w:rtl w:val="0"/>
              </w:rPr>
              <w:t xml:space="preserve">as_of_year</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tl w:val="0"/>
              </w:rPr>
              <w:t xml:space="preserve">Year</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auto" w:val="clear"/>
            <w:vAlign w:val="bottom"/>
          </w:tcPr>
          <w:p w:rsidR="00000000" w:rsidDel="00000000" w:rsidP="00000000" w:rsidRDefault="00000000" w:rsidRPr="00000000" w14:paraId="00000023">
            <w:pPr>
              <w:spacing w:after="0" w:line="240" w:lineRule="auto"/>
              <w:rPr>
                <w:rFonts w:ascii="Calibri" w:cs="Calibri" w:eastAsia="Calibri" w:hAnsi="Calibri"/>
                <w:color w:val="000000"/>
              </w:rPr>
            </w:pPr>
            <w:r w:rsidDel="00000000" w:rsidR="00000000" w:rsidRPr="00000000">
              <w:rPr>
                <w:rtl w:val="0"/>
              </w:rPr>
              <w:t xml:space="preserve">respondent_id</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vAlign w:val="bottom"/>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t xml:space="preserve">Alpha-Numerical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t xml:space="preserve">agency_name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auto" w:val="clear"/>
            <w:vAlign w:val="bottom"/>
          </w:tcPr>
          <w:p w:rsidR="00000000" w:rsidDel="00000000" w:rsidP="00000000" w:rsidRDefault="00000000" w:rsidRPr="00000000" w14:paraId="00000027">
            <w:pPr>
              <w:spacing w:after="0" w:line="240" w:lineRule="auto"/>
              <w:rPr>
                <w:rFonts w:ascii="Calibri" w:cs="Calibri" w:eastAsia="Calibri" w:hAnsi="Calibri"/>
                <w:color w:val="000000"/>
              </w:rPr>
            </w:pPr>
            <w:r w:rsidDel="00000000" w:rsidR="00000000" w:rsidRPr="00000000">
              <w:rPr>
                <w:rtl w:val="0"/>
              </w:rPr>
              <w:t xml:space="preserve">agency_abbr</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vAlign w:val="bottom"/>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29">
            <w:pPr>
              <w:spacing w:after="0" w:line="240" w:lineRule="auto"/>
              <w:rPr>
                <w:rFonts w:ascii="Calibri" w:cs="Calibri" w:eastAsia="Calibri" w:hAnsi="Calibri"/>
                <w:color w:val="000000"/>
              </w:rPr>
            </w:pPr>
            <w:r w:rsidDel="00000000" w:rsidR="00000000" w:rsidRPr="00000000">
              <w:rPr>
                <w:rtl w:val="0"/>
              </w:rPr>
              <w:t xml:space="preserve">agency_code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w:t>
            </w:r>
            <w:r w:rsidDel="00000000" w:rsidR="00000000" w:rsidRPr="00000000">
              <w:rPr>
                <w:rtl w:val="0"/>
              </w:rPr>
              <w:t xml:space="preserve">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auto" w:val="clear"/>
            <w:vAlign w:val="bottom"/>
          </w:tcPr>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tl w:val="0"/>
              </w:rPr>
              <w:t xml:space="preserve">loan_type_name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vAlign w:val="bottom"/>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2D">
            <w:pPr>
              <w:spacing w:after="0" w:line="240" w:lineRule="auto"/>
              <w:rPr>
                <w:rFonts w:ascii="Calibri" w:cs="Calibri" w:eastAsia="Calibri" w:hAnsi="Calibri"/>
                <w:color w:val="000000"/>
              </w:rPr>
            </w:pPr>
            <w:r w:rsidDel="00000000" w:rsidR="00000000" w:rsidRPr="00000000">
              <w:rPr>
                <w:rtl w:val="0"/>
              </w:rPr>
              <w:t xml:space="preserve">property_type_name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auto" w:val="clear"/>
            <w:vAlign w:val="bottom"/>
          </w:tcPr>
          <w:p w:rsidR="00000000" w:rsidDel="00000000" w:rsidP="00000000" w:rsidRDefault="00000000" w:rsidRPr="00000000" w14:paraId="0000002F">
            <w:pPr>
              <w:spacing w:after="0" w:line="240" w:lineRule="auto"/>
              <w:rPr>
                <w:rFonts w:ascii="Calibri" w:cs="Calibri" w:eastAsia="Calibri" w:hAnsi="Calibri"/>
                <w:color w:val="000000"/>
              </w:rPr>
            </w:pPr>
            <w:r w:rsidDel="00000000" w:rsidR="00000000" w:rsidRPr="00000000">
              <w:rPr>
                <w:rtl w:val="0"/>
              </w:rPr>
              <w:t xml:space="preserve">property_type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tl w:val="0"/>
              </w:rPr>
              <w:t xml:space="preserve">loan_purpose_name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tl w:val="0"/>
              </w:rPr>
              <w:t xml:space="preserve">loan_purpose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Continuous</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tl w:val="0"/>
              </w:rPr>
              <w:t xml:space="preserve">owner_occupancy_name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tl w:val="0"/>
              </w:rPr>
              <w:t xml:space="preserve">loan_amount_000s</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tl w:val="0"/>
              </w:rPr>
              <w:t xml:space="preserve">Numerical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tl w:val="0"/>
              </w:rPr>
              <w:t xml:space="preserve">preapproval_name</w:t>
            </w:r>
            <w:r w:rsidDel="00000000" w:rsidR="00000000" w:rsidRPr="00000000">
              <w:rPr>
                <w:rtl w:val="0"/>
              </w:rPr>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3B">
            <w:pPr>
              <w:spacing w:after="0" w:line="240" w:lineRule="auto"/>
              <w:rPr/>
            </w:pPr>
            <w:r w:rsidDel="00000000" w:rsidR="00000000" w:rsidRPr="00000000">
              <w:rPr>
                <w:rtl w:val="0"/>
              </w:rPr>
              <w:t xml:space="preserve">preapproval</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3D">
            <w:pPr>
              <w:spacing w:after="0" w:line="240" w:lineRule="auto"/>
              <w:rPr/>
            </w:pPr>
            <w:r w:rsidDel="00000000" w:rsidR="00000000" w:rsidRPr="00000000">
              <w:rPr>
                <w:rtl w:val="0"/>
              </w:rPr>
              <w:t xml:space="preserve">action_taken_name</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tl w:val="0"/>
              </w:rPr>
              <w:t xml:space="preserve">Dependent, 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3F">
            <w:pPr>
              <w:spacing w:after="0" w:line="240" w:lineRule="auto"/>
              <w:rPr/>
            </w:pPr>
            <w:r w:rsidDel="00000000" w:rsidR="00000000" w:rsidRPr="00000000">
              <w:rPr>
                <w:rtl w:val="0"/>
              </w:rPr>
              <w:t xml:space="preserve">action_taken</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40">
            <w:pPr>
              <w:spacing w:after="0" w:line="240" w:lineRule="auto"/>
              <w:rPr/>
            </w:pPr>
            <w:r w:rsidDel="00000000" w:rsidR="00000000" w:rsidRPr="00000000">
              <w:rPr>
                <w:rtl w:val="0"/>
              </w:rPr>
              <w:t xml:space="preserve">Categorical</w:t>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41">
            <w:pPr>
              <w:spacing w:after="0" w:line="240" w:lineRule="auto"/>
              <w:rPr/>
            </w:pPr>
            <w:r w:rsidDel="00000000" w:rsidR="00000000" w:rsidRPr="00000000">
              <w:rPr>
                <w:rtl w:val="0"/>
              </w:rPr>
              <w:t xml:space="preserve">msamd_name</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43">
            <w:pPr>
              <w:spacing w:after="0" w:line="240" w:lineRule="auto"/>
              <w:rPr/>
            </w:pPr>
            <w:r w:rsidDel="00000000" w:rsidR="00000000" w:rsidRPr="00000000">
              <w:rPr>
                <w:rtl w:val="0"/>
              </w:rPr>
              <w:t xml:space="preserve">state_name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45">
            <w:pPr>
              <w:spacing w:after="0" w:line="240" w:lineRule="auto"/>
              <w:rPr/>
            </w:pPr>
            <w:r w:rsidDel="00000000" w:rsidR="00000000" w:rsidRPr="00000000">
              <w:rPr>
                <w:rtl w:val="0"/>
              </w:rPr>
              <w:t xml:space="preserve">state_abbr</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47">
            <w:pPr>
              <w:spacing w:after="0" w:line="240" w:lineRule="auto"/>
              <w:rPr/>
            </w:pPr>
            <w:r w:rsidDel="00000000" w:rsidR="00000000" w:rsidRPr="00000000">
              <w:rPr>
                <w:rtl w:val="0"/>
              </w:rPr>
              <w:t xml:space="preserve">state_code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49">
            <w:pPr>
              <w:spacing w:after="0" w:line="240" w:lineRule="auto"/>
              <w:rPr/>
            </w:pPr>
            <w:r w:rsidDel="00000000" w:rsidR="00000000" w:rsidRPr="00000000">
              <w:rPr>
                <w:rtl w:val="0"/>
              </w:rPr>
              <w:t xml:space="preserve">county_code</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4B">
            <w:pPr>
              <w:spacing w:after="0" w:line="240" w:lineRule="auto"/>
              <w:rPr/>
            </w:pPr>
            <w:r w:rsidDel="00000000" w:rsidR="00000000" w:rsidRPr="00000000">
              <w:rPr>
                <w:rtl w:val="0"/>
              </w:rPr>
              <w:t xml:space="preserve">county_name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4D">
            <w:pPr>
              <w:spacing w:after="0" w:line="240" w:lineRule="auto"/>
              <w:rPr/>
            </w:pPr>
            <w:r w:rsidDel="00000000" w:rsidR="00000000" w:rsidRPr="00000000">
              <w:rPr>
                <w:rtl w:val="0"/>
              </w:rPr>
              <w:t xml:space="preserve">census_tract_number</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4F">
            <w:pPr>
              <w:spacing w:after="0" w:line="240" w:lineRule="auto"/>
              <w:rPr/>
            </w:pPr>
            <w:r w:rsidDel="00000000" w:rsidR="00000000" w:rsidRPr="00000000">
              <w:rPr>
                <w:rtl w:val="0"/>
              </w:rPr>
              <w:t xml:space="preserve">applicant_ethnicity_name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51">
            <w:pPr>
              <w:spacing w:after="0" w:line="240" w:lineRule="auto"/>
              <w:rPr/>
            </w:pPr>
            <w:r w:rsidDel="00000000" w:rsidR="00000000" w:rsidRPr="00000000">
              <w:rPr>
                <w:rtl w:val="0"/>
              </w:rPr>
              <w:t xml:space="preserve">applicant_ethnicity</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53">
            <w:pPr>
              <w:spacing w:after="0" w:line="240" w:lineRule="auto"/>
              <w:rPr/>
            </w:pPr>
            <w:r w:rsidDel="00000000" w:rsidR="00000000" w:rsidRPr="00000000">
              <w:rPr>
                <w:rtl w:val="0"/>
              </w:rPr>
              <w:t xml:space="preserve">co_applicant_ethnicity_name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55">
            <w:pPr>
              <w:spacing w:after="0" w:line="240" w:lineRule="auto"/>
              <w:rPr/>
            </w:pPr>
            <w:r w:rsidDel="00000000" w:rsidR="00000000" w:rsidRPr="00000000">
              <w:rPr>
                <w:rtl w:val="0"/>
              </w:rPr>
              <w:t xml:space="preserve">co_applicant_ethnicity</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57">
            <w:pPr>
              <w:spacing w:after="0" w:line="240" w:lineRule="auto"/>
              <w:rPr/>
            </w:pPr>
            <w:r w:rsidDel="00000000" w:rsidR="00000000" w:rsidRPr="00000000">
              <w:rPr>
                <w:rtl w:val="0"/>
              </w:rPr>
              <w:t xml:space="preserve">applicant_race_name_1</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59">
            <w:pPr>
              <w:spacing w:after="0" w:line="240" w:lineRule="auto"/>
              <w:rPr/>
            </w:pPr>
            <w:r w:rsidDel="00000000" w:rsidR="00000000" w:rsidRPr="00000000">
              <w:rPr>
                <w:rtl w:val="0"/>
              </w:rPr>
              <w:t xml:space="preserve">applicant_race_1</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5B">
            <w:pPr>
              <w:spacing w:after="0" w:line="240" w:lineRule="auto"/>
              <w:rPr/>
            </w:pPr>
            <w:r w:rsidDel="00000000" w:rsidR="00000000" w:rsidRPr="00000000">
              <w:rPr>
                <w:rtl w:val="0"/>
              </w:rPr>
              <w:t xml:space="preserve">applicant_race_name_2</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5D">
            <w:pPr>
              <w:spacing w:after="0" w:line="240" w:lineRule="auto"/>
              <w:rPr/>
            </w:pPr>
            <w:r w:rsidDel="00000000" w:rsidR="00000000" w:rsidRPr="00000000">
              <w:rPr>
                <w:rtl w:val="0"/>
              </w:rPr>
              <w:t xml:space="preserve">applicant_race_2</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5F">
            <w:pPr>
              <w:spacing w:after="0" w:line="240" w:lineRule="auto"/>
              <w:rPr/>
            </w:pPr>
            <w:r w:rsidDel="00000000" w:rsidR="00000000" w:rsidRPr="00000000">
              <w:rPr>
                <w:rtl w:val="0"/>
              </w:rPr>
              <w:t xml:space="preserve">applicant_race_name_3</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61">
            <w:pPr>
              <w:spacing w:after="0" w:line="240" w:lineRule="auto"/>
              <w:rPr/>
            </w:pPr>
            <w:r w:rsidDel="00000000" w:rsidR="00000000" w:rsidRPr="00000000">
              <w:rPr>
                <w:rtl w:val="0"/>
              </w:rPr>
              <w:t xml:space="preserve">applicant_race_3</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63">
            <w:pPr>
              <w:spacing w:after="0" w:line="240" w:lineRule="auto"/>
              <w:rPr/>
            </w:pPr>
            <w:r w:rsidDel="00000000" w:rsidR="00000000" w:rsidRPr="00000000">
              <w:rPr>
                <w:rtl w:val="0"/>
              </w:rPr>
              <w:t xml:space="preserve">applicant_race_name_4</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65">
            <w:pPr>
              <w:spacing w:after="0" w:line="240" w:lineRule="auto"/>
              <w:rPr/>
            </w:pPr>
            <w:r w:rsidDel="00000000" w:rsidR="00000000" w:rsidRPr="00000000">
              <w:rPr>
                <w:rtl w:val="0"/>
              </w:rPr>
              <w:t xml:space="preserve">applicant_race_4</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67">
            <w:pPr>
              <w:spacing w:after="0" w:line="240" w:lineRule="auto"/>
              <w:rPr/>
            </w:pPr>
            <w:r w:rsidDel="00000000" w:rsidR="00000000" w:rsidRPr="00000000">
              <w:rPr>
                <w:rtl w:val="0"/>
              </w:rPr>
              <w:t xml:space="preserve">applicant_race_name_5</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69">
            <w:pPr>
              <w:spacing w:after="0" w:line="240" w:lineRule="auto"/>
              <w:rPr/>
            </w:pPr>
            <w:r w:rsidDel="00000000" w:rsidR="00000000" w:rsidRPr="00000000">
              <w:rPr>
                <w:rtl w:val="0"/>
              </w:rPr>
              <w:t xml:space="preserve">applicant_race_5</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6B">
            <w:pPr>
              <w:spacing w:after="0" w:line="240" w:lineRule="auto"/>
              <w:rPr/>
            </w:pPr>
            <w:r w:rsidDel="00000000" w:rsidR="00000000" w:rsidRPr="00000000">
              <w:rPr>
                <w:rtl w:val="0"/>
              </w:rPr>
              <w:t xml:space="preserve">co_applicant_race_name_1</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6D">
            <w:pPr>
              <w:spacing w:after="0" w:line="240" w:lineRule="auto"/>
              <w:rPr/>
            </w:pPr>
            <w:r w:rsidDel="00000000" w:rsidR="00000000" w:rsidRPr="00000000">
              <w:rPr>
                <w:rtl w:val="0"/>
              </w:rPr>
              <w:t xml:space="preserve">co_applicant_race_1</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6F">
            <w:pPr>
              <w:spacing w:after="0" w:line="240" w:lineRule="auto"/>
              <w:rPr/>
            </w:pPr>
            <w:r w:rsidDel="00000000" w:rsidR="00000000" w:rsidRPr="00000000">
              <w:rPr>
                <w:rtl w:val="0"/>
              </w:rPr>
              <w:t xml:space="preserve">co_applicant_race_name_2</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71">
            <w:pPr>
              <w:spacing w:after="0" w:line="240" w:lineRule="auto"/>
              <w:rPr/>
            </w:pPr>
            <w:r w:rsidDel="00000000" w:rsidR="00000000" w:rsidRPr="00000000">
              <w:rPr>
                <w:rtl w:val="0"/>
              </w:rPr>
              <w:t xml:space="preserve">co_applicant_race_2</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72">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73">
            <w:pPr>
              <w:spacing w:after="0" w:line="240" w:lineRule="auto"/>
              <w:rPr/>
            </w:pPr>
            <w:r w:rsidDel="00000000" w:rsidR="00000000" w:rsidRPr="00000000">
              <w:rPr>
                <w:rtl w:val="0"/>
              </w:rPr>
              <w:t xml:space="preserve">co_applicant_race_name_3</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75">
            <w:pPr>
              <w:spacing w:after="0" w:line="240" w:lineRule="auto"/>
              <w:rPr/>
            </w:pPr>
            <w:r w:rsidDel="00000000" w:rsidR="00000000" w:rsidRPr="00000000">
              <w:rPr>
                <w:rtl w:val="0"/>
              </w:rPr>
              <w:t xml:space="preserve">co_applicant_race_3</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76">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77">
            <w:pPr>
              <w:spacing w:after="0" w:line="240" w:lineRule="auto"/>
              <w:rPr/>
            </w:pPr>
            <w:r w:rsidDel="00000000" w:rsidR="00000000" w:rsidRPr="00000000">
              <w:rPr>
                <w:rtl w:val="0"/>
              </w:rPr>
              <w:t xml:space="preserve">co_applicant_race_name_4</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79">
            <w:pPr>
              <w:spacing w:after="0" w:line="240" w:lineRule="auto"/>
              <w:rPr/>
            </w:pPr>
            <w:r w:rsidDel="00000000" w:rsidR="00000000" w:rsidRPr="00000000">
              <w:rPr>
                <w:rtl w:val="0"/>
              </w:rPr>
              <w:t xml:space="preserve">co_applicant_race_4</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7A">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7B">
            <w:pPr>
              <w:spacing w:after="0" w:line="240" w:lineRule="auto"/>
              <w:rPr/>
            </w:pPr>
            <w:r w:rsidDel="00000000" w:rsidR="00000000" w:rsidRPr="00000000">
              <w:rPr>
                <w:rtl w:val="0"/>
              </w:rPr>
              <w:t xml:space="preserve">co_applicant_race_name_5</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7D">
            <w:pPr>
              <w:spacing w:after="0" w:line="240" w:lineRule="auto"/>
              <w:rPr/>
            </w:pPr>
            <w:r w:rsidDel="00000000" w:rsidR="00000000" w:rsidRPr="00000000">
              <w:rPr>
                <w:rtl w:val="0"/>
              </w:rPr>
              <w:t xml:space="preserve">co_applicant_race_5</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7F">
            <w:pPr>
              <w:spacing w:after="0" w:line="240" w:lineRule="auto"/>
              <w:rPr/>
            </w:pPr>
            <w:r w:rsidDel="00000000" w:rsidR="00000000" w:rsidRPr="00000000">
              <w:rPr>
                <w:rtl w:val="0"/>
              </w:rPr>
              <w:t xml:space="preserve">applicant_sex_name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81">
            <w:pPr>
              <w:spacing w:after="0" w:line="240" w:lineRule="auto"/>
              <w:rPr/>
            </w:pPr>
            <w:r w:rsidDel="00000000" w:rsidR="00000000" w:rsidRPr="00000000">
              <w:rPr>
                <w:rtl w:val="0"/>
              </w:rPr>
              <w:t xml:space="preserve">applicant_sex</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83">
            <w:pPr>
              <w:spacing w:after="0" w:line="240" w:lineRule="auto"/>
              <w:rPr/>
            </w:pPr>
            <w:r w:rsidDel="00000000" w:rsidR="00000000" w:rsidRPr="00000000">
              <w:rPr>
                <w:rtl w:val="0"/>
              </w:rPr>
              <w:t xml:space="preserve">co_applicant_sex_name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85">
            <w:pPr>
              <w:spacing w:after="0" w:line="240" w:lineRule="auto"/>
              <w:rPr/>
            </w:pPr>
            <w:r w:rsidDel="00000000" w:rsidR="00000000" w:rsidRPr="00000000">
              <w:rPr>
                <w:rtl w:val="0"/>
              </w:rPr>
              <w:t xml:space="preserve">co_applicant_sex</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87">
            <w:pPr>
              <w:spacing w:after="0" w:line="240" w:lineRule="auto"/>
              <w:rPr/>
            </w:pPr>
            <w:r w:rsidDel="00000000" w:rsidR="00000000" w:rsidRPr="00000000">
              <w:rPr>
                <w:rtl w:val="0"/>
              </w:rPr>
              <w:t xml:space="preserve">applicant_income_000s</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89">
            <w:pPr>
              <w:spacing w:after="0" w:line="240" w:lineRule="auto"/>
              <w:rPr/>
            </w:pPr>
            <w:r w:rsidDel="00000000" w:rsidR="00000000" w:rsidRPr="00000000">
              <w:rPr>
                <w:rtl w:val="0"/>
              </w:rPr>
              <w:t xml:space="preserve">purchaser_type_name</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8A">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8B">
            <w:pPr>
              <w:spacing w:after="0" w:line="240" w:lineRule="auto"/>
              <w:rPr/>
            </w:pPr>
            <w:r w:rsidDel="00000000" w:rsidR="00000000" w:rsidRPr="00000000">
              <w:rPr>
                <w:rtl w:val="0"/>
              </w:rPr>
              <w:t xml:space="preserve">purchaser_type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8D">
            <w:pPr>
              <w:spacing w:after="0" w:line="240" w:lineRule="auto"/>
              <w:rPr/>
            </w:pPr>
            <w:r w:rsidDel="00000000" w:rsidR="00000000" w:rsidRPr="00000000">
              <w:rPr>
                <w:rtl w:val="0"/>
              </w:rPr>
              <w:t xml:space="preserve">denial_reason_name_1</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8F">
            <w:pPr>
              <w:spacing w:after="0" w:line="240" w:lineRule="auto"/>
              <w:rPr/>
            </w:pPr>
            <w:r w:rsidDel="00000000" w:rsidR="00000000" w:rsidRPr="00000000">
              <w:rPr>
                <w:rtl w:val="0"/>
              </w:rPr>
              <w:t xml:space="preserve">denial_reason_1</w:t>
              <w:tab/>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91">
            <w:pPr>
              <w:spacing w:after="0" w:line="240" w:lineRule="auto"/>
              <w:rPr/>
            </w:pPr>
            <w:r w:rsidDel="00000000" w:rsidR="00000000" w:rsidRPr="00000000">
              <w:rPr>
                <w:rtl w:val="0"/>
              </w:rPr>
              <w:t xml:space="preserve">denial_reason_name_2</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92">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93">
            <w:pPr>
              <w:spacing w:after="0" w:line="240" w:lineRule="auto"/>
              <w:rPr/>
            </w:pPr>
            <w:r w:rsidDel="00000000" w:rsidR="00000000" w:rsidRPr="00000000">
              <w:rPr>
                <w:rtl w:val="0"/>
              </w:rPr>
              <w:t xml:space="preserve">denial_reason_2</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95">
            <w:pPr>
              <w:spacing w:after="0" w:line="240" w:lineRule="auto"/>
              <w:rPr/>
            </w:pPr>
            <w:r w:rsidDel="00000000" w:rsidR="00000000" w:rsidRPr="00000000">
              <w:rPr>
                <w:rtl w:val="0"/>
              </w:rPr>
              <w:t xml:space="preserve">denial_reason_name_3</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96">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97">
            <w:pPr>
              <w:spacing w:after="0" w:line="240" w:lineRule="auto"/>
              <w:rPr/>
            </w:pPr>
            <w:r w:rsidDel="00000000" w:rsidR="00000000" w:rsidRPr="00000000">
              <w:rPr>
                <w:rtl w:val="0"/>
              </w:rPr>
              <w:t xml:space="preserve">denial_reason_3</w:t>
              <w:tab/>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99">
            <w:pPr>
              <w:spacing w:after="0" w:line="240" w:lineRule="auto"/>
              <w:rPr/>
            </w:pPr>
            <w:r w:rsidDel="00000000" w:rsidR="00000000" w:rsidRPr="00000000">
              <w:rPr>
                <w:rtl w:val="0"/>
              </w:rPr>
              <w:t xml:space="preserve">rate_spread</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9B">
            <w:pPr>
              <w:spacing w:after="0" w:line="240" w:lineRule="auto"/>
              <w:rPr/>
            </w:pPr>
            <w:r w:rsidDel="00000000" w:rsidR="00000000" w:rsidRPr="00000000">
              <w:rPr>
                <w:rtl w:val="0"/>
              </w:rPr>
              <w:t xml:space="preserve">hoepa_status_name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tl w:val="0"/>
              </w:rPr>
              <w:t xml:space="preserve">Boolean</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9D">
            <w:pPr>
              <w:spacing w:after="0" w:line="240" w:lineRule="auto"/>
              <w:rPr/>
            </w:pPr>
            <w:r w:rsidDel="00000000" w:rsidR="00000000" w:rsidRPr="00000000">
              <w:rPr>
                <w:rtl w:val="0"/>
              </w:rPr>
              <w:t xml:space="preserve">hoepa_status</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9F">
            <w:pPr>
              <w:spacing w:after="0" w:line="240" w:lineRule="auto"/>
              <w:rPr/>
            </w:pPr>
            <w:r w:rsidDel="00000000" w:rsidR="00000000" w:rsidRPr="00000000">
              <w:rPr>
                <w:rtl w:val="0"/>
              </w:rPr>
              <w:t xml:space="preserve">lien_status_name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A0">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A1">
            <w:pPr>
              <w:spacing w:after="0" w:line="240" w:lineRule="auto"/>
              <w:rPr/>
            </w:pPr>
            <w:r w:rsidDel="00000000" w:rsidR="00000000" w:rsidRPr="00000000">
              <w:rPr>
                <w:rtl w:val="0"/>
              </w:rPr>
              <w:t xml:space="preserve">lien_status</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A2">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A3">
            <w:pPr>
              <w:spacing w:after="0" w:line="240" w:lineRule="auto"/>
              <w:rPr/>
            </w:pPr>
            <w:r w:rsidDel="00000000" w:rsidR="00000000" w:rsidRPr="00000000">
              <w:rPr>
                <w:rtl w:val="0"/>
              </w:rPr>
              <w:t xml:space="preserve">edit_status_name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A4">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A5">
            <w:pPr>
              <w:spacing w:after="0" w:line="240" w:lineRule="auto"/>
              <w:rPr/>
            </w:pPr>
            <w:r w:rsidDel="00000000" w:rsidR="00000000" w:rsidRPr="00000000">
              <w:rPr>
                <w:rtl w:val="0"/>
              </w:rPr>
              <w:t xml:space="preserve">edit_status</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tl w:val="0"/>
              </w:rPr>
              <w:t xml:space="preserve">Categorical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A7">
            <w:pPr>
              <w:spacing w:after="0" w:line="240" w:lineRule="auto"/>
              <w:rPr/>
            </w:pPr>
            <w:r w:rsidDel="00000000" w:rsidR="00000000" w:rsidRPr="00000000">
              <w:rPr>
                <w:rtl w:val="0"/>
              </w:rPr>
              <w:t xml:space="preserve">sequence_number</w:t>
              <w:tab/>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A8">
            <w:pPr>
              <w:spacing w:after="0" w:line="240" w:lineRule="auto"/>
              <w:rPr>
                <w:rFonts w:ascii="Calibri" w:cs="Calibri" w:eastAsia="Calibri" w:hAnsi="Calibri"/>
                <w:color w:val="000000"/>
              </w:rPr>
            </w:pPr>
            <w:r w:rsidDel="00000000" w:rsidR="00000000" w:rsidRPr="00000000">
              <w:rPr>
                <w:rtl w:val="0"/>
              </w:rPr>
              <w:t xml:space="preserve">Numerical</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A9">
            <w:pPr>
              <w:spacing w:after="0" w:line="240" w:lineRule="auto"/>
              <w:rPr/>
            </w:pPr>
            <w:r w:rsidDel="00000000" w:rsidR="00000000" w:rsidRPr="00000000">
              <w:rPr>
                <w:rtl w:val="0"/>
              </w:rPr>
              <w:t xml:space="preserve">population</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tl w:val="0"/>
              </w:rPr>
              <w:t xml:space="preserve">Numerical, Continuous</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AB">
            <w:pPr>
              <w:spacing w:after="0" w:line="240" w:lineRule="auto"/>
              <w:rPr/>
            </w:pPr>
            <w:r w:rsidDel="00000000" w:rsidR="00000000" w:rsidRPr="00000000">
              <w:rPr>
                <w:rtl w:val="0"/>
              </w:rPr>
              <w:t xml:space="preserve">minority_population</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AC">
            <w:pPr>
              <w:spacing w:after="0" w:line="240" w:lineRule="auto"/>
              <w:rPr>
                <w:rFonts w:ascii="Calibri" w:cs="Calibri" w:eastAsia="Calibri" w:hAnsi="Calibri"/>
                <w:color w:val="000000"/>
              </w:rPr>
            </w:pPr>
            <w:r w:rsidDel="00000000" w:rsidR="00000000" w:rsidRPr="00000000">
              <w:rPr>
                <w:rtl w:val="0"/>
              </w:rPr>
              <w:t xml:space="preserve">Numerical, Continuous</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AD">
            <w:pPr>
              <w:spacing w:after="0" w:line="240" w:lineRule="auto"/>
              <w:rPr/>
            </w:pPr>
            <w:r w:rsidDel="00000000" w:rsidR="00000000" w:rsidRPr="00000000">
              <w:rPr>
                <w:rtl w:val="0"/>
              </w:rPr>
              <w:t xml:space="preserve">hud_median_family_income</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AE">
            <w:pPr>
              <w:spacing w:after="0" w:line="240" w:lineRule="auto"/>
              <w:rPr>
                <w:rFonts w:ascii="Calibri" w:cs="Calibri" w:eastAsia="Calibri" w:hAnsi="Calibri"/>
                <w:color w:val="000000"/>
              </w:rPr>
            </w:pPr>
            <w:r w:rsidDel="00000000" w:rsidR="00000000" w:rsidRPr="00000000">
              <w:rPr>
                <w:rtl w:val="0"/>
              </w:rPr>
              <w:t xml:space="preserve">Numerical, Continuous</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AF">
            <w:pPr>
              <w:spacing w:after="0" w:line="240" w:lineRule="auto"/>
              <w:rPr/>
            </w:pPr>
            <w:r w:rsidDel="00000000" w:rsidR="00000000" w:rsidRPr="00000000">
              <w:rPr>
                <w:rtl w:val="0"/>
              </w:rPr>
              <w:t xml:space="preserve">tract_to_msamd_income</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B0">
            <w:pPr>
              <w:spacing w:after="0" w:line="240" w:lineRule="auto"/>
              <w:rPr>
                <w:rFonts w:ascii="Calibri" w:cs="Calibri" w:eastAsia="Calibri" w:hAnsi="Calibri"/>
                <w:color w:val="000000"/>
              </w:rPr>
            </w:pPr>
            <w:r w:rsidDel="00000000" w:rsidR="00000000" w:rsidRPr="00000000">
              <w:rPr>
                <w:rtl w:val="0"/>
              </w:rPr>
              <w:t xml:space="preserve">Numerical, Continuous</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B1">
            <w:pPr>
              <w:spacing w:after="0" w:line="240" w:lineRule="auto"/>
              <w:rPr/>
            </w:pPr>
            <w:r w:rsidDel="00000000" w:rsidR="00000000" w:rsidRPr="00000000">
              <w:rPr>
                <w:rtl w:val="0"/>
              </w:rPr>
              <w:t xml:space="preserve">number_of_owner_occupied_units</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B2">
            <w:pPr>
              <w:spacing w:after="0" w:line="240" w:lineRule="auto"/>
              <w:rPr>
                <w:rFonts w:ascii="Calibri" w:cs="Calibri" w:eastAsia="Calibri" w:hAnsi="Calibri"/>
                <w:color w:val="000000"/>
              </w:rPr>
            </w:pPr>
            <w:r w:rsidDel="00000000" w:rsidR="00000000" w:rsidRPr="00000000">
              <w:rPr>
                <w:rtl w:val="0"/>
              </w:rPr>
              <w:t xml:space="preserve">Numerical, Continuous</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vAlign w:val="bottom"/>
          </w:tcPr>
          <w:p w:rsidR="00000000" w:rsidDel="00000000" w:rsidP="00000000" w:rsidRDefault="00000000" w:rsidRPr="00000000" w14:paraId="000000B3">
            <w:pPr>
              <w:spacing w:after="0" w:line="240" w:lineRule="auto"/>
              <w:rPr/>
            </w:pPr>
            <w:r w:rsidDel="00000000" w:rsidR="00000000" w:rsidRPr="00000000">
              <w:rPr>
                <w:rtl w:val="0"/>
              </w:rPr>
              <w:t xml:space="preserve">number_of_1_to_4_family_units</w:t>
            </w:r>
          </w:p>
        </w:tc>
        <w:tc>
          <w:tcPr>
            <w:tcBorders>
              <w:top w:color="8ea9db" w:space="0" w:sz="4" w:val="single"/>
              <w:left w:color="000000" w:space="0" w:sz="0" w:val="nil"/>
              <w:bottom w:color="8ea9db" w:space="0" w:sz="4" w:val="single"/>
              <w:right w:color="8ea9db" w:space="0" w:sz="4" w:val="single"/>
            </w:tcBorders>
            <w:vAlign w:val="bottom"/>
          </w:tcPr>
          <w:p w:rsidR="00000000" w:rsidDel="00000000" w:rsidP="00000000" w:rsidRDefault="00000000" w:rsidRPr="00000000" w14:paraId="000000B4">
            <w:pPr>
              <w:spacing w:after="0" w:line="240" w:lineRule="auto"/>
              <w:rPr>
                <w:rFonts w:ascii="Calibri" w:cs="Calibri" w:eastAsia="Calibri" w:hAnsi="Calibri"/>
                <w:color w:val="000000"/>
              </w:rPr>
            </w:pPr>
            <w:r w:rsidDel="00000000" w:rsidR="00000000" w:rsidRPr="00000000">
              <w:rPr>
                <w:rtl w:val="0"/>
              </w:rPr>
              <w:t xml:space="preserve">Numerical, Continuous</w:t>
            </w:r>
            <w:r w:rsidDel="00000000" w:rsidR="00000000" w:rsidRPr="00000000">
              <w:rPr>
                <w:rtl w:val="0"/>
              </w:rPr>
            </w:r>
          </w:p>
        </w:tc>
      </w:tr>
      <w:tr>
        <w:trPr>
          <w:cantSplit w:val="0"/>
          <w:trHeight w:val="288" w:hRule="atLeast"/>
          <w:tblHeader w:val="0"/>
        </w:trPr>
        <w:tc>
          <w:tcPr>
            <w:tcBorders>
              <w:top w:color="8ea9db" w:space="0" w:sz="4" w:val="single"/>
              <w:left w:color="8ea9db" w:space="0" w:sz="4" w:val="single"/>
              <w:bottom w:color="8ea9db" w:space="0" w:sz="4" w:val="single"/>
              <w:right w:color="000000" w:space="0" w:sz="0" w:val="nil"/>
            </w:tcBorders>
            <w:shd w:fill="d9e1f2" w:val="clear"/>
            <w:vAlign w:val="bottom"/>
          </w:tcPr>
          <w:p w:rsidR="00000000" w:rsidDel="00000000" w:rsidP="00000000" w:rsidRDefault="00000000" w:rsidRPr="00000000" w14:paraId="000000B5">
            <w:pPr>
              <w:spacing w:after="0" w:line="240" w:lineRule="auto"/>
              <w:rPr/>
            </w:pPr>
            <w:r w:rsidDel="00000000" w:rsidR="00000000" w:rsidRPr="00000000">
              <w:rPr>
                <w:rtl w:val="0"/>
              </w:rPr>
              <w:t xml:space="preserve">application_date_indicator</w:t>
            </w:r>
          </w:p>
        </w:tc>
        <w:tc>
          <w:tcPr>
            <w:tcBorders>
              <w:top w:color="8ea9db" w:space="0" w:sz="4" w:val="single"/>
              <w:left w:color="000000" w:space="0" w:sz="0" w:val="nil"/>
              <w:bottom w:color="8ea9db" w:space="0" w:sz="4" w:val="single"/>
              <w:right w:color="8ea9db" w:space="0" w:sz="4" w:val="single"/>
            </w:tcBorders>
            <w:shd w:fill="d9e1f2" w:val="clear"/>
            <w:vAlign w:val="bottom"/>
          </w:tcPr>
          <w:p w:rsidR="00000000" w:rsidDel="00000000" w:rsidP="00000000" w:rsidRDefault="00000000" w:rsidRPr="00000000" w14:paraId="000000B6">
            <w:pPr>
              <w:spacing w:after="0" w:line="240" w:lineRule="auto"/>
              <w:rPr>
                <w:rFonts w:ascii="Calibri" w:cs="Calibri" w:eastAsia="Calibri" w:hAnsi="Calibri"/>
                <w:color w:val="000000"/>
              </w:rPr>
            </w:pPr>
            <w:r w:rsidDel="00000000" w:rsidR="00000000" w:rsidRPr="00000000">
              <w:rPr>
                <w:rtl w:val="0"/>
              </w:rPr>
              <w:t xml:space="preserve">Date</w:t>
            </w:r>
            <w:r w:rsidDel="00000000" w:rsidR="00000000" w:rsidRPr="00000000">
              <w:rPr>
                <w:rtl w:val="0"/>
              </w:rPr>
            </w:r>
          </w:p>
        </w:tc>
      </w:tr>
    </w:tbl>
    <w:p w:rsidR="00000000" w:rsidDel="00000000" w:rsidP="00000000" w:rsidRDefault="00000000" w:rsidRPr="00000000" w14:paraId="000000B7">
      <w:pPr>
        <w:spacing w:after="0" w:line="240" w:lineRule="auto"/>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8">
      <w:pPr>
        <w:spacing w:after="0" w:line="240" w:lineRule="auto"/>
        <w:ind w:left="360" w:firstLine="0"/>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B9">
      <w:pPr>
        <w:spacing w:after="0" w:line="240" w:lineRule="auto"/>
        <w:ind w:left="360" w:firstLine="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data is available at the Consumer Financial Protection Bureau website and is gathered by thousands of financial institutions who report under the Home Mortgage Disclosure Act (U.S. Consumer Financial Protection Bureau, 2017).  This dataset  has been modified to remove any personally identifiable information, and consists of demographics, the type of loan, and the property for which the loan application is submitted for. The binary response variable (action_taken_name) is a categorical variable that represents if a loan was approved or denied.  There are some limitations that consist of missing inputs for many of the variables, occasional errors in some inputs (for example, entering a 1 where a 10 should be). Data will need to be scrubbed to remove erroneous information and missing information. The delimitations for this study are to have enough fields with imputed data so that reliable conclusions can be drawn from the statistical analysis, and to have enough examples of denied applications and approved applications to have a wealth of target events to avoid over sampling.</w:t>
      </w:r>
    </w:p>
    <w:p w:rsidR="00000000" w:rsidDel="00000000" w:rsidP="00000000" w:rsidRDefault="00000000" w:rsidRPr="00000000" w14:paraId="000000BA">
      <w:pPr>
        <w:spacing w:after="0" w:line="240" w:lineRule="auto"/>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C">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Gathering: </w:t>
      </w:r>
      <w:r w:rsidDel="00000000" w:rsidR="00000000" w:rsidRPr="00000000">
        <w:rPr>
          <w:rFonts w:ascii="Verdana" w:cs="Verdana" w:eastAsia="Verdana" w:hAnsi="Verdana"/>
          <w:sz w:val="20"/>
          <w:szCs w:val="20"/>
          <w:rtl w:val="0"/>
        </w:rPr>
        <w:t xml:space="preserve">The data will be collected from the Consumer Financial Protection Bureau website as a downloadable comma separated file. This file will be analyzed with Microsoft Excel and SAS studio. The data will be cleaned using a combination of the previous mentioned technologies. Some fields will need to be converted, for example the applicant_income will be converted from a multiple of 1000 to the actual integer, and the hoepa_status_name field will be converted from “yes” and “no” to a “0” or “1”. The response variable is categorical and needs to be converted from the various denied and approved explanations to “0” and “1”.</w:t>
      </w:r>
    </w:p>
    <w:p w:rsidR="00000000" w:rsidDel="00000000" w:rsidP="00000000" w:rsidRDefault="00000000" w:rsidRPr="00000000" w14:paraId="000000BD">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E">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Analytics Tools and Techniques</w:t>
      </w:r>
      <w:r w:rsidDel="00000000" w:rsidR="00000000" w:rsidRPr="00000000">
        <w:rPr>
          <w:rFonts w:ascii="Verdana" w:cs="Verdana" w:eastAsia="Verdana" w:hAnsi="Verdana"/>
          <w:sz w:val="20"/>
          <w:szCs w:val="20"/>
          <w:rtl w:val="0"/>
        </w:rPr>
        <w:t xml:space="preserve">: To determine the relationship between variables in the data set and how they influence the result of getting an approved loan, a binary regression model will be created to explain how different variables in the data set influence each other and the overall result. Pearson correlation will be applied to quantify the relationships between each variable and the binary response.</w:t>
      </w:r>
      <w:r w:rsidDel="00000000" w:rsidR="00000000" w:rsidRPr="00000000">
        <w:rPr>
          <w:rtl w:val="0"/>
        </w:rPr>
        <w:t xml:space="preserve"> The dataset has a many variables and will need to be reduced via variable screening to eliminate high correlations between variables other than the target variables. This will be achieved using PROC VARCLUS which will eliminate redundancy and reduce variables.</w:t>
      </w:r>
      <w:r w:rsidDel="00000000" w:rsidR="00000000" w:rsidRPr="00000000">
        <w:rPr>
          <w:rtl w:val="0"/>
        </w:rPr>
      </w:r>
    </w:p>
    <w:p w:rsidR="00000000" w:rsidDel="00000000" w:rsidP="00000000" w:rsidRDefault="00000000" w:rsidRPr="00000000" w14:paraId="000000BF">
      <w:pPr>
        <w:spacing w:after="0" w:line="240"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0">
      <w:pPr>
        <w:spacing w:after="0" w:line="240" w:lineRule="auto"/>
        <w:ind w:left="36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Justification of Tools/Techniques:</w:t>
      </w:r>
      <w:r w:rsidDel="00000000" w:rsidR="00000000" w:rsidRPr="00000000">
        <w:rPr>
          <w:rFonts w:ascii="Verdana" w:cs="Verdana" w:eastAsia="Verdana" w:hAnsi="Verdana"/>
          <w:sz w:val="20"/>
          <w:szCs w:val="20"/>
          <w:rtl w:val="0"/>
        </w:rPr>
        <w:t xml:space="preserve"> SAS is the primary tool that will be used for the binary regression and is more than capable in handling many of the issues the commonly arise when running binary regression. For the redundant and secondary relationships between variables other than the target PROC VARCLUS will be applied prior to running the logistic regression. This procedure is made very easy with SAS and will not require researching other packages that might be required with other solutions such as R or Python. The version of SAS being used for this research (SAS Studio) does have a limit to the amount of data that can be uploaded (100MB), but due to the data for this study only consisting of 97MB SAS Studio will be more than capable. </w:t>
      </w:r>
    </w:p>
    <w:p w:rsidR="00000000" w:rsidDel="00000000" w:rsidP="00000000" w:rsidRDefault="00000000" w:rsidRPr="00000000" w14:paraId="000000C1">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2">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Project Outcomes</w:t>
      </w:r>
      <w:r w:rsidDel="00000000" w:rsidR="00000000" w:rsidRPr="00000000">
        <w:rPr>
          <w:rFonts w:ascii="Verdana" w:cs="Verdana" w:eastAsia="Verdana" w:hAnsi="Verdana"/>
          <w:sz w:val="20"/>
          <w:szCs w:val="20"/>
          <w:rtl w:val="0"/>
        </w:rPr>
        <w:t xml:space="preserve">:This project will attempt to give consumers confidence in applying for mortgages by explaining which variables are the best indicators of getting an approved loan, and provide insights on what a planning consumer should focus on to improve their chances of getting an approved loan. </w:t>
      </w:r>
    </w:p>
    <w:p w:rsidR="00000000" w:rsidDel="00000000" w:rsidP="00000000" w:rsidRDefault="00000000" w:rsidRPr="00000000" w14:paraId="000000C3">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4">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Projected Project End Date</w:t>
      </w:r>
      <w:r w:rsidDel="00000000" w:rsidR="00000000" w:rsidRPr="00000000">
        <w:rPr>
          <w:rFonts w:ascii="Verdana" w:cs="Verdana" w:eastAsia="Verdana" w:hAnsi="Verdana"/>
          <w:sz w:val="20"/>
          <w:szCs w:val="20"/>
          <w:rtl w:val="0"/>
        </w:rPr>
        <w:t xml:space="preserve">: 10/21/2021</w:t>
      </w:r>
    </w:p>
    <w:p w:rsidR="00000000" w:rsidDel="00000000" w:rsidP="00000000" w:rsidRDefault="00000000" w:rsidRPr="00000000" w14:paraId="000000C5">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6">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Sources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7">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 Consumer Financial Protection Bureau. (2017). Retrieved September 19, 2021, from </w:t>
      </w:r>
      <w:hyperlink r:id="rId7">
        <w:r w:rsidDel="00000000" w:rsidR="00000000" w:rsidRPr="00000000">
          <w:rPr>
            <w:rFonts w:ascii="Verdana" w:cs="Verdana" w:eastAsia="Verdana" w:hAnsi="Verdana"/>
            <w:color w:val="1155cc"/>
            <w:sz w:val="20"/>
            <w:szCs w:val="20"/>
            <w:u w:val="single"/>
            <w:rtl w:val="0"/>
          </w:rPr>
          <w:t xml:space="preserve">https://www.consumerfinance.gov/data-research/hmda/historic-data/?geo=ar&amp;records=all-records&amp;field_descriptions=labels</w:t>
        </w:r>
      </w:hyperlink>
      <w:r w:rsidDel="00000000" w:rsidR="00000000" w:rsidRPr="00000000">
        <w:rPr>
          <w:rtl w:val="0"/>
        </w:rPr>
      </w:r>
    </w:p>
    <w:p w:rsidR="00000000" w:rsidDel="00000000" w:rsidP="00000000" w:rsidRDefault="00000000" w:rsidRPr="00000000" w14:paraId="000000C8">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9">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DeSilver, D., &amp;; Bialik, K. (2017, January 10). Blacks, hispanics face mortgage challenges. Pew Research Center. Retrieved September 19, 2021, from </w:t>
      </w:r>
      <w:hyperlink r:id="rId8">
        <w:r w:rsidDel="00000000" w:rsidR="00000000" w:rsidRPr="00000000">
          <w:rPr>
            <w:rFonts w:ascii="Verdana" w:cs="Verdana" w:eastAsia="Verdana" w:hAnsi="Verdana"/>
            <w:color w:val="1155cc"/>
            <w:sz w:val="20"/>
            <w:szCs w:val="20"/>
            <w:u w:val="single"/>
            <w:rtl w:val="0"/>
          </w:rPr>
          <w:t xml:space="preserve">https://www.pewresearch.org/fact-tank/2017/01/10/blacks-and-hispanics-face-extra-challenges-in-getting-home-loans/</w:t>
        </w:r>
      </w:hyperlink>
      <w:r w:rsidDel="00000000" w:rsidR="00000000" w:rsidRPr="00000000">
        <w:rPr>
          <w:rtl w:val="0"/>
        </w:rPr>
      </w:r>
    </w:p>
    <w:p w:rsidR="00000000" w:rsidDel="00000000" w:rsidP="00000000" w:rsidRDefault="00000000" w:rsidRPr="00000000" w14:paraId="000000CA">
      <w:pPr>
        <w:spacing w:after="0" w:line="240" w:lineRule="auto"/>
        <w:rPr>
          <w:rFonts w:ascii="Verdana" w:cs="Verdana" w:eastAsia="Verdana" w:hAnsi="Verdana"/>
          <w:color w:val="1155cc"/>
          <w:sz w:val="20"/>
          <w:szCs w:val="20"/>
          <w:u w:val="single"/>
        </w:rPr>
      </w:pPr>
      <w:r w:rsidDel="00000000" w:rsidR="00000000" w:rsidRPr="00000000">
        <w:rPr>
          <w:rtl w:val="0"/>
        </w:rPr>
      </w:r>
    </w:p>
    <w:p w:rsidR="00000000" w:rsidDel="00000000" w:rsidP="00000000" w:rsidRDefault="00000000" w:rsidRPr="00000000" w14:paraId="000000C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SAS. (n.d.). The VARCLUS Procedure. SAS help center. Retrieved September 19, 2021, from </w:t>
      </w:r>
      <w:hyperlink r:id="rId9">
        <w:r w:rsidDel="00000000" w:rsidR="00000000" w:rsidRPr="00000000">
          <w:rPr>
            <w:rFonts w:ascii="Verdana" w:cs="Verdana" w:eastAsia="Verdana" w:hAnsi="Verdana"/>
            <w:color w:val="1155cc"/>
            <w:sz w:val="20"/>
            <w:szCs w:val="20"/>
            <w:u w:val="single"/>
            <w:rtl w:val="0"/>
          </w:rPr>
          <w:t xml:space="preserve">https://documentation.sas.com/doc/en/pgmsascdc/9.4_3.4/statug/statug_varclus_syntax01.htm</w:t>
        </w:r>
      </w:hyperlink>
      <w:r w:rsidDel="00000000" w:rsidR="00000000" w:rsidRPr="00000000">
        <w:rPr>
          <w:rtl w:val="0"/>
        </w:rPr>
      </w:r>
    </w:p>
    <w:p w:rsidR="00000000" w:rsidDel="00000000" w:rsidP="00000000" w:rsidRDefault="00000000" w:rsidRPr="00000000" w14:paraId="000000C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D">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E">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F">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0">
      <w:pPr>
        <w:spacing w:after="0" w:line="240" w:lineRule="auto"/>
        <w:jc w:val="center"/>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2">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be filled out by a course mentor:</w:t>
      </w:r>
    </w:p>
    <w:p w:rsidR="00000000" w:rsidDel="00000000" w:rsidP="00000000" w:rsidRDefault="00000000" w:rsidRPr="00000000" w14:paraId="000000D3">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20"/>
          <w:szCs w:val="20"/>
          <w:rtl w:val="0"/>
        </w:rPr>
        <w:t xml:space="preserve"> The research is exempt from an IRB Review.</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Verdana" w:cs="Verdana" w:eastAsia="Verdana" w:hAnsi="Verdana"/>
          <w:sz w:val="20"/>
          <w:szCs w:val="20"/>
          <w:rtl w:val="0"/>
        </w:rPr>
        <w:t xml:space="preserve"> An IRB approval is in place (provide proof in appendix B).</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pacing w:after="0" w:line="240" w:lineRule="auto"/>
        <w:rPr>
          <w:color w:val="808080"/>
        </w:rPr>
      </w:pPr>
      <w:r w:rsidDel="00000000" w:rsidR="00000000" w:rsidRPr="00000000">
        <w:rPr>
          <w:rFonts w:ascii="Verdana" w:cs="Verdana" w:eastAsia="Verdana" w:hAnsi="Verdana"/>
          <w:sz w:val="20"/>
          <w:szCs w:val="20"/>
          <w:rtl w:val="0"/>
        </w:rPr>
        <w:t xml:space="preserve">Course Mentor’s Approval Status: </w:t>
      </w:r>
      <w:r w:rsidDel="00000000" w:rsidR="00000000" w:rsidRPr="00000000">
        <w:rPr>
          <w:rFonts w:ascii="Verdana" w:cs="Verdana" w:eastAsia="Verdana" w:hAnsi="Verdana"/>
          <w:color w:val="808080"/>
          <w:sz w:val="20"/>
          <w:szCs w:val="20"/>
          <w:rtl w:val="0"/>
        </w:rPr>
        <w:t xml:space="preserve">Select one</w:t>
      </w:r>
      <w:r w:rsidDel="00000000" w:rsidR="00000000" w:rsidRPr="00000000">
        <w:rPr>
          <w:rtl w:val="0"/>
        </w:rPr>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pacing w:after="0" w:line="240" w:lineRule="auto"/>
        <w:rPr/>
      </w:pPr>
      <w:r w:rsidDel="00000000" w:rsidR="00000000" w:rsidRPr="00000000">
        <w:rPr>
          <w:rtl w:val="0"/>
        </w:rPr>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w:t>
      </w:r>
      <w:r w:rsidDel="00000000" w:rsidR="00000000" w:rsidRPr="00000000">
        <w:rPr>
          <w:rFonts w:ascii="Verdana" w:cs="Verdana" w:eastAsia="Verdana" w:hAnsi="Verdana"/>
          <w:color w:val="808080"/>
          <w:sz w:val="20"/>
          <w:szCs w:val="20"/>
          <w:rtl w:val="0"/>
        </w:rPr>
        <w:t xml:space="preserve">Click here to enter a date.</w:t>
      </w:r>
      <w:r w:rsidDel="00000000" w:rsidR="00000000" w:rsidRPr="00000000">
        <w:rPr>
          <w:rtl w:val="0"/>
        </w:rPr>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Reviewed by: </w:t>
      </w:r>
      <w:r w:rsidDel="00000000" w:rsidR="00000000" w:rsidRPr="00000000">
        <w:rPr>
          <w:rFonts w:ascii="Verdana" w:cs="Verdana" w:eastAsia="Verdana" w:hAnsi="Verdana"/>
          <w:color w:val="808080"/>
          <w:sz w:val="20"/>
          <w:szCs w:val="20"/>
          <w:rtl w:val="0"/>
        </w:rPr>
        <w:t xml:space="preserve">Click here to enter text.</w:t>
      </w:r>
      <w:r w:rsidDel="00000000" w:rsidR="00000000" w:rsidRPr="00000000">
        <w:rPr>
          <w:rtl w:val="0"/>
        </w:rPr>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Comments: </w:t>
      </w:r>
      <w:r w:rsidDel="00000000" w:rsidR="00000000" w:rsidRPr="00000000">
        <w:rPr>
          <w:rFonts w:ascii="Verdana" w:cs="Verdana" w:eastAsia="Verdana" w:hAnsi="Verdana"/>
          <w:color w:val="808080"/>
          <w:sz w:val="20"/>
          <w:szCs w:val="20"/>
          <w:rtl w:val="0"/>
        </w:rPr>
        <w:t xml:space="preserve">Click here to enter text.</w:t>
      </w: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pacing w:after="0" w:line="240" w:lineRule="auto"/>
        <w:rPr>
          <w:rFonts w:ascii="Verdana" w:cs="Verdana" w:eastAsia="Verdana" w:hAnsi="Verdana"/>
          <w:i w:val="1"/>
          <w:sz w:val="20"/>
          <w:szCs w:val="20"/>
        </w:rPr>
      </w:pPr>
      <w:r w:rsidDel="00000000" w:rsidR="00000000" w:rsidRPr="00000000">
        <w:rPr>
          <w:rtl w:val="0"/>
        </w:rPr>
      </w:r>
    </w:p>
    <w:p w:rsidR="00000000" w:rsidDel="00000000" w:rsidP="00000000" w:rsidRDefault="00000000" w:rsidRPr="00000000" w14:paraId="000000E0">
      <w:pPr>
        <w:spacing w:after="0" w:line="24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1">
      <w:pPr>
        <w:spacing w:after="160" w:line="256"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MS Gothic"/>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8318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3BE5"/>
    <w:pPr>
      <w:ind w:left="720"/>
      <w:contextualSpacing w:val="1"/>
    </w:pPr>
  </w:style>
  <w:style w:type="table" w:styleId="TableGrid">
    <w:name w:val="Table Grid"/>
    <w:basedOn w:val="TableNormal"/>
    <w:uiPriority w:val="59"/>
    <w:rsid w:val="00F03B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3B7D70"/>
    <w:rPr>
      <w:sz w:val="16"/>
      <w:szCs w:val="16"/>
    </w:rPr>
  </w:style>
  <w:style w:type="paragraph" w:styleId="CommentText">
    <w:name w:val="annotation text"/>
    <w:basedOn w:val="Normal"/>
    <w:link w:val="CommentTextChar"/>
    <w:uiPriority w:val="99"/>
    <w:unhideWhenUsed w:val="1"/>
    <w:rsid w:val="003B7D70"/>
    <w:pPr>
      <w:spacing w:line="240" w:lineRule="auto"/>
    </w:pPr>
    <w:rPr>
      <w:sz w:val="20"/>
      <w:szCs w:val="20"/>
    </w:rPr>
  </w:style>
  <w:style w:type="character" w:styleId="CommentTextChar" w:customStyle="1">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val="1"/>
    <w:unhideWhenUsed w:val="1"/>
    <w:rsid w:val="003B7D70"/>
    <w:rPr>
      <w:b w:val="1"/>
      <w:bCs w:val="1"/>
    </w:rPr>
  </w:style>
  <w:style w:type="character" w:styleId="CommentSubjectChar" w:customStyle="1">
    <w:name w:val="Comment Subject Char"/>
    <w:basedOn w:val="CommentTextChar"/>
    <w:link w:val="CommentSubject"/>
    <w:uiPriority w:val="99"/>
    <w:semiHidden w:val="1"/>
    <w:rsid w:val="003B7D70"/>
    <w:rPr>
      <w:b w:val="1"/>
      <w:bCs w:val="1"/>
      <w:sz w:val="20"/>
      <w:szCs w:val="20"/>
    </w:rPr>
  </w:style>
  <w:style w:type="paragraph" w:styleId="BalloonText">
    <w:name w:val="Balloon Text"/>
    <w:basedOn w:val="Normal"/>
    <w:link w:val="BalloonTextChar"/>
    <w:uiPriority w:val="99"/>
    <w:semiHidden w:val="1"/>
    <w:unhideWhenUsed w:val="1"/>
    <w:rsid w:val="003B7D7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B7D70"/>
    <w:rPr>
      <w:rFonts w:ascii="Segoe UI" w:cs="Segoe UI" w:hAnsi="Segoe UI"/>
      <w:sz w:val="18"/>
      <w:szCs w:val="18"/>
    </w:rPr>
  </w:style>
  <w:style w:type="paragraph" w:styleId="Revision">
    <w:name w:val="Revision"/>
    <w:hidden w:val="1"/>
    <w:uiPriority w:val="99"/>
    <w:semiHidden w:val="1"/>
    <w:rsid w:val="009B192F"/>
    <w:pPr>
      <w:spacing w:after="0" w:line="240" w:lineRule="auto"/>
    </w:pPr>
  </w:style>
  <w:style w:type="character" w:styleId="PlaceholderText">
    <w:name w:val="Placeholder Text"/>
    <w:basedOn w:val="DefaultParagraphFont"/>
    <w:uiPriority w:val="99"/>
    <w:semiHidden w:val="1"/>
    <w:rsid w:val="00235E12"/>
    <w:rPr>
      <w:color w:val="808080"/>
    </w:rPr>
  </w:style>
  <w:style w:type="character" w:styleId="Hyperlink">
    <w:name w:val="Hyperlink"/>
    <w:basedOn w:val="DefaultParagraphFont"/>
    <w:uiPriority w:val="99"/>
    <w:unhideWhenUsed w:val="1"/>
    <w:rsid w:val="00235E12"/>
    <w:rPr>
      <w:color w:val="0000ff" w:themeColor="hyperlink"/>
      <w:u w:val="single"/>
    </w:rPr>
  </w:style>
  <w:style w:type="paragraph" w:styleId="Normal1" w:customStyle="1">
    <w:name w:val="Normal1"/>
    <w:rsid w:val="00235E12"/>
    <w:rPr>
      <w:rFonts w:ascii="Calibri" w:cs="Calibri" w:eastAsia="Calibri" w:hAnsi="Calibri"/>
      <w:color w:val="000000"/>
    </w:rPr>
  </w:style>
  <w:style w:type="character" w:styleId="UnresolvedMention">
    <w:name w:val="Unresolved Mention"/>
    <w:basedOn w:val="DefaultParagraphFont"/>
    <w:uiPriority w:val="99"/>
    <w:semiHidden w:val="1"/>
    <w:unhideWhenUsed w:val="1"/>
    <w:rsid w:val="00CA4499"/>
    <w:rPr>
      <w:color w:val="605e5c"/>
      <w:shd w:color="auto" w:fill="e1dfdd" w:val="clear"/>
    </w:rPr>
  </w:style>
  <w:style w:type="character" w:styleId="Heading1Char" w:customStyle="1">
    <w:name w:val="Heading 1 Char"/>
    <w:basedOn w:val="DefaultParagraphFont"/>
    <w:link w:val="Heading1"/>
    <w:uiPriority w:val="9"/>
    <w:rsid w:val="00A83184"/>
    <w:rPr>
      <w:rFonts w:ascii="Times New Roman" w:cs="Times New Roman" w:eastAsia="Times New Roman" w:hAnsi="Times New Roman"/>
      <w:b w:val="1"/>
      <w:bCs w:val="1"/>
      <w:kern w:val="36"/>
      <w:sz w:val="48"/>
      <w:szCs w:val="48"/>
    </w:rPr>
  </w:style>
  <w:style w:type="character" w:styleId="FollowedHyperlink">
    <w:name w:val="FollowedHyperlink"/>
    <w:basedOn w:val="DefaultParagraphFont"/>
    <w:uiPriority w:val="99"/>
    <w:semiHidden w:val="1"/>
    <w:unhideWhenUsed w:val="1"/>
    <w:rsid w:val="00F3393F"/>
    <w:rPr>
      <w:color w:val="800080" w:themeColor="followedHyperlink"/>
      <w:u w:val="single"/>
    </w:rPr>
  </w:style>
  <w:style w:type="paragraph" w:styleId="NormalWeb">
    <w:name w:val="Normal (Web)"/>
    <w:basedOn w:val="Normal"/>
    <w:uiPriority w:val="99"/>
    <w:unhideWhenUsed w:val="1"/>
    <w:rsid w:val="00017E97"/>
    <w:pPr>
      <w:spacing w:after="100" w:afterAutospacing="1" w:before="100" w:beforeAutospacing="1" w:line="240" w:lineRule="auto"/>
    </w:pPr>
    <w:rPr>
      <w:rFonts w:ascii="Times New Roman" w:cs="Times New Roman" w:eastAsia="Times New Roman" w:hAnsi="Times New Roman"/>
      <w:sz w:val="24"/>
      <w:szCs w:val="24"/>
    </w:rPr>
  </w:style>
  <w:style w:type="character" w:styleId="m8045111613562294945msoplaceholdertext" w:customStyle="1">
    <w:name w:val="m_8045111613562294945msoplaceholdertext"/>
    <w:basedOn w:val="DefaultParagraphFont"/>
    <w:rsid w:val="00E25A7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umentation.sas.com/doc/en/pgmsascdc/9.4_3.4/statug/statug_varclus_syntax01.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nsumerfinance.gov/data-research/hmda/historic-data/?geo=ar&amp;records=all-records&amp;field_descriptions=labels" TargetMode="External"/><Relationship Id="rId8" Type="http://schemas.openxmlformats.org/officeDocument/2006/relationships/hyperlink" Target="https://www.pewresearch.org/fact-tank/2017/01/10/blacks-and-hispanics-face-extra-challenges-in-getting-home-lo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FTUZPQDW/XbUbq/taqVpR8NPTQ==">AMUW2mVTtPJCe3sTJdIYg5MfAR1dFi9SwkcZYFwI0TZnqJOcjbw9pNpUKs8YqW4t4HTMx7+mMMmvan8elp0Din8+U/AudDQZLle2hO1Lh+Midba3rM/BNl7EOjUjNQg4Dzpr/BE4eXWIZjnRr0k00tx+j0S1wQbs+3L0ELsimCg19uNQfdRrTvw=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2020-10-24T20:19:00Z</dcterms:created>
  <dc:creator>DaveHuff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