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Contoso CRM Replacement — Business Requirements</w:t>
      </w:r>
    </w:p>
    <w:p>
      <w:pPr>
        <w:pStyle w:val="Heading1"/>
      </w:pPr>
      <w:r>
        <w:t>1. Introduction</w:t>
      </w:r>
    </w:p>
    <w:p>
      <w:r>
        <w:t>This document captures requirements from the discovery workshops.</w:t>
      </w:r>
    </w:p>
    <w:p>
      <w:pPr>
        <w:pStyle w:val="Heading1"/>
      </w:pPr>
      <w:r>
        <w:t>2. Sales Requirements</w:t>
      </w:r>
    </w:p>
    <w:p>
      <w:r>
        <w:t>The system must track opportunities through a configurable sales process with stage gates.</w:t>
      </w:r>
    </w:p>
    <w:p>
      <w:pPr>
        <w:pStyle w:val="ListBullet"/>
      </w:pPr>
      <w:r>
        <w:t>Sales managers need dashboards showing pipeline value by region and salesperson.</w:t>
      </w:r>
    </w:p>
    <w:p>
      <w:pPr>
        <w:pStyle w:val="ListBullet"/>
      </w:pPr>
      <w:r>
        <w:t>Quotes must be generated as branded PDF documents and emailed to customers.</w:t>
      </w:r>
    </w:p>
    <w:p>
      <w:pPr>
        <w:pStyle w:val="Heading1"/>
      </w:pPr>
      <w:r>
        <w:t>3. Customer Service Requirements</w:t>
      </w:r>
    </w:p>
    <w:p>
      <w:pPr>
        <w:pStyle w:val="ListNumber"/>
      </w:pPr>
      <w:r>
        <w:t>Agents must see a unified timeline of all customer interactions across channels.</w:t>
      </w:r>
    </w:p>
    <w:p>
      <w:pPr>
        <w:pStyle w:val="ListNumber"/>
      </w:pPr>
      <w:r>
        <w:t>Cases must be automatically routed to queues based on product and severity.</w:t>
      </w:r>
    </w:p>
    <w:p>
      <w:pPr>
        <w:pStyle w:val="ListNumber"/>
      </w:pPr>
      <w:r>
        <w:t>The system shall send an SMS survey to customers when a case is resolved.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BR-101</w:t>
            </w:r>
          </w:p>
        </w:tc>
        <w:tc>
          <w:tcPr>
            <w:tcW w:type="dxa" w:w="2880"/>
          </w:tcPr>
          <w:p>
            <w:r>
              <w:t>Field technicians need offline access to work orders on mobile devices.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BR-102</w:t>
            </w:r>
          </w:p>
        </w:tc>
        <w:tc>
          <w:tcPr>
            <w:tcW w:type="dxa" w:w="2880"/>
          </w:tcPr>
          <w:p>
            <w:r>
              <w:t>Invoices must sync to the ERP system within 15 minutes.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