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used program eval – hinting that its an industry standard (NOT JUST RANDOM)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to do program eval themselves (so they can teach them to fish)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Bullets could go up a font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Framework in the appendix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Lack of control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Constraints and assumptions (not limitations)– cost is proxy/surrogate for health outcomes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Stats on overutilization/overspending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 regulatory requirements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SWOT style 4 boxes/ 4 quadrants (performance outcomes as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box)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Who are highmarks stakeholders?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Alignment of highmarks objectives with patients and investors – expand misaligned incentives – internal and external (Can be an efficient operation that’s unnecessary)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Perhaps problems could be addressed as internal vs external issues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Number slides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Needs should be assessed prior to outcomes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headlines to tell them ewhat you want them to perceive from the slides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Program theory – headline – intended effect of program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Circle overview quality aspects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we fail to see logic in the different components is where the issue arises. If the threory seems good, then the implementation is the issue.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“the continuous improvement cycle led us to believe there is now room for improvement”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Slide of the “model” vs the “assessment”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 “theory” then “application”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Minimap in top right corner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Summary slide after each section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Logic model sounds good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Is VBR flawed in the sense of its elimination of waste talks about system efficiency vs system value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Literature common based values – its too new, hasn’t shown anything yet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Literature shows that something needs to be improved, but not what – if you focus on measurement, you improve, not sure what needs to be measured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 limited physicians to limitations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Checkboxes by process eval on the parts that we were able to 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dose received – maybe have surveys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Separate reach, dose delivered/dose received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Skip data cleaning g and exploratory data analyses (put in appendix)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Show analysis outcomes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Show forward stepwise after multiple linear regression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Slides handouts and keys handouts (maybe need them back afterwards) (maybe email highmark about keys)</w:t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Key insights – they’re missing out on senior and pediatric areas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 section - overview, MLR, PCA, Stepwise, lasso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overveiw, add what outcomes are (is score good, number bad)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talk about the fact that sensible and nonsensible results are noise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collinearities go first or after MLR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zhWjg0aOfLh5dI7Vnxk9p62fMw==">AMUW2mWGz48+Vya0nnM7kS1ysvz1C70csQhldG5MMazUPDxuxgCsW8UoA896Sbl8fKZzrEu8VzH9gczq0wYPwFiwl5FOrmbEfRD+gPhrI9gOj44BGlPV2eHcaOWf6Hhv4eGWWvcHB1qh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2019-12-02T17:10:00Z</dcterms:created>
  <dc:creator>Wolf, Moshe</dc:creator>
</cp:coreProperties>
</file>