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00"/>
        <w:jc w:val="center"/>
      </w:pPr>
      <w:r>
        <w:rPr>
          <w:rFonts w:ascii="黑体" w:hAnsi="黑体"/>
          <w:b/>
          <w:color w:val="BF6A4A"/>
          <w:sz w:val="44"/>
        </w:rPr>
        <w:t>PRISM FDI审查机制数据平台</w:t>
      </w:r>
    </w:p>
    <w:p>
      <w:pPr>
        <w:spacing w:after="120"/>
        <w:jc w:val="center"/>
      </w:pPr>
      <w:r>
        <w:rPr>
          <w:rFonts w:ascii="黑体" w:hAnsi="黑体"/>
          <w:b/>
          <w:color w:val="2B3344"/>
          <w:sz w:val="32"/>
        </w:rPr>
        <w:t>功能说明文档</w:t>
      </w:r>
    </w:p>
    <w:p>
      <w:pPr>
        <w:spacing w:after="80"/>
        <w:jc w:val="center"/>
      </w:pPr>
      <w:r>
        <w:rPr>
          <w:rFonts w:ascii="宋体" w:hAnsi="宋体"/>
          <w:color w:val="5A6477"/>
          <w:sz w:val="24"/>
        </w:rPr>
        <w:t>基于38国2007–2023年外商直接投资审查机制数据</w:t>
      </w:r>
    </w:p>
    <w:p>
      <w:pPr>
        <w:jc w:val="center"/>
      </w:pPr>
      <w:r>
        <w:rPr>
          <w:rFonts w:ascii="Courier New" w:hAnsi="Courier New"/>
          <w:color w:val="4F6F9E"/>
          <w:sz w:val="22"/>
        </w:rPr>
        <w:t>https://jonebroom.github.io/prism-fdi/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rFonts w:ascii="黑体" w:hAnsi="黑体"/>
          <w:color w:val="2B3344"/>
        </w:rPr>
        <w:t>一、平台概述</w:t>
      </w:r>
    </w:p>
    <w:p>
      <w:pPr>
        <w:spacing w:after="120" w:before="0"/>
      </w:pPr>
      <w:r>
        <w:rPr>
          <w:rFonts w:ascii="宋体" w:hAnsi="宋体"/>
          <w:b w:val="0"/>
          <w:sz w:val="22"/>
        </w:rPr>
        <w:t>PRISM（Policy Review of Investment Screening Mechanisms）是一个专注于外商直接投资（FDI）审查机制的交互式数据可视化平台，系统整理并可视化了全球主要经济体的投资审查制度设计、程序特征与历史演变。</w:t>
      </w:r>
    </w:p>
    <w:p>
      <w:pPr>
        <w:spacing w:after="160" w:before="0"/>
      </w:pPr>
      <w:r>
        <w:rPr>
          <w:rFonts w:ascii="宋体" w:hAnsi="宋体"/>
          <w:b/>
          <w:sz w:val="22"/>
        </w:rPr>
        <w:t>访问地址：https://jonebroom.github.io/prism-fdi/</w:t>
      </w:r>
    </w:p>
    <w:p>
      <w:pPr>
        <w:pStyle w:val="Heading2"/>
        <w:spacing w:before="160" w:after="120"/>
      </w:pPr>
      <w:r>
        <w:rPr>
          <w:rFonts w:ascii="黑体" w:hAnsi="黑体"/>
          <w:color w:val="4F6F9E"/>
        </w:rPr>
        <w:t>数据规模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覆盖国家：38个国家（2007–2023年）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时间序列：650+ 国家-年记录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法规事件：143项法规级事件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立法变动：230条立法变动记录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政策文本：141份原始政策文本</w:t>
      </w:r>
    </w:p>
    <w:p>
      <w:pPr>
        <w:pStyle w:val="Heading2"/>
        <w:spacing w:before="160" w:after="120"/>
      </w:pPr>
      <w:r>
        <w:rPr>
          <w:rFonts w:ascii="黑体" w:hAnsi="黑体"/>
          <w:color w:val="4F6F9E"/>
        </w:rPr>
        <w:t>国家分组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OECD成员国（经济合作与发展组织）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EU/EEA成员国（欧盟及欧洲经济区）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Five Eyes（五眼联盟：美国、英国、澳大利亚、加拿大、新西兰）</w:t>
      </w:r>
    </w:p>
    <w:p>
      <w:pPr>
        <w:pStyle w:val="Heading2"/>
        <w:spacing w:before="160" w:after="120"/>
      </w:pPr>
      <w:r>
        <w:rPr>
          <w:rFonts w:ascii="黑体" w:hAnsi="黑体"/>
          <w:color w:val="4F6F9E"/>
        </w:rPr>
        <w:t>平台特点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全静态网页，无需服务器，无需登录，任何设备通过网址直接访问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所有图表联动：切换年份或国家分组后，全部可视化同步更新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集成AI数据问答功能，支持主流大模型API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内嵌全文检索，覆盖国家名称、法规标题、主管机构、政策文本关键词</w:t>
      </w:r>
    </w:p>
    <w:p>
      <w:pPr>
        <w:pStyle w:val="Heading1"/>
        <w:spacing w:before="280" w:after="120"/>
      </w:pPr>
      <w:r>
        <w:rPr>
          <w:rFonts w:ascii="黑体" w:hAnsi="黑体"/>
          <w:color w:val="2B3344"/>
        </w:rPr>
        <w:t>二、左侧控制栏</w:t>
      </w:r>
    </w:p>
    <w:p>
      <w:pPr>
        <w:pStyle w:val="Heading2"/>
        <w:spacing w:before="160" w:after="120"/>
      </w:pPr>
      <w:r>
        <w:rPr>
          <w:rFonts w:ascii="黑体" w:hAnsi="黑体"/>
          <w:color w:val="4F6F9E"/>
        </w:rPr>
        <w:t>年份控制</w:t>
      </w:r>
    </w:p>
    <w:p>
      <w:pPr>
        <w:spacing w:after="120" w:before="0"/>
      </w:pPr>
      <w:r>
        <w:rPr>
          <w:rFonts w:ascii="宋体" w:hAnsi="宋体"/>
          <w:b w:val="0"/>
          <w:sz w:val="22"/>
        </w:rPr>
        <w:t>年份滑块可在2007–2023年间自由拖动，选定年份后所有图表立即联动刷新。点击"▶ Play Timeline"按钮可自动逐年播放，动态观察各国政策的演变过程。</w:t>
      </w:r>
    </w:p>
    <w:p>
      <w:pPr>
        <w:pStyle w:val="Heading2"/>
        <w:spacing w:before="160" w:after="120"/>
      </w:pPr>
      <w:r>
        <w:rPr>
          <w:rFonts w:ascii="黑体" w:hAnsi="黑体"/>
          <w:color w:val="4F6F9E"/>
        </w:rPr>
        <w:t>Country Groups（国家分组筛选）</w:t>
      </w:r>
    </w:p>
    <w:p>
      <w:pPr>
        <w:spacing w:after="120" w:before="0"/>
      </w:pPr>
      <w:r>
        <w:rPr>
          <w:rFonts w:ascii="宋体" w:hAnsi="宋体"/>
          <w:b w:val="0"/>
          <w:sz w:val="22"/>
        </w:rPr>
        <w:t>三个分组按钮（OECD / EU/EEA / Five Eyes）可单独切换，支持多选组合。取消某分组后，该分组国家从所有图表和列表中移除；至少保留一个分组。</w:t>
      </w:r>
    </w:p>
    <w:p>
      <w:pPr>
        <w:pStyle w:val="Heading2"/>
        <w:spacing w:before="160" w:after="120"/>
      </w:pPr>
      <w:r>
        <w:rPr>
          <w:rFonts w:ascii="黑体" w:hAnsi="黑体"/>
          <w:color w:val="4F6F9E"/>
        </w:rPr>
        <w:t>国家列表</w:t>
      </w:r>
    </w:p>
    <w:p>
      <w:pPr>
        <w:spacing w:after="120" w:before="0"/>
      </w:pPr>
      <w:r>
        <w:rPr>
          <w:rFonts w:ascii="宋体" w:hAnsi="宋体"/>
          <w:b w:val="0"/>
          <w:sz w:val="22"/>
        </w:rPr>
        <w:t>显示当前分组筛选下的全部国家，点击任意国家名称可直接跳转至该国详情页（Country标签）。顶部搜索框支持按国家名称快速过滤。</w:t>
      </w:r>
    </w:p>
    <w:p>
      <w:pPr>
        <w:pStyle w:val="Heading1"/>
        <w:spacing w:before="280" w:after="120"/>
      </w:pPr>
      <w:r>
        <w:rPr>
          <w:rFonts w:ascii="黑体" w:hAnsi="黑体"/>
          <w:color w:val="2B3344"/>
        </w:rPr>
        <w:t>三、六大分析模块详解</w:t>
      </w:r>
    </w:p>
    <w:p>
      <w:pPr>
        <w:pStyle w:val="Heading2"/>
        <w:spacing w:before="160" w:after="120"/>
      </w:pPr>
      <w:r>
        <w:rPr>
          <w:rFonts w:ascii="黑体" w:hAnsi="黑体"/>
          <w:color w:val="4F6F9E"/>
        </w:rPr>
        <w:t>Tab 01 · Overview（全球概览）</w:t>
      </w:r>
    </w:p>
    <w:p>
      <w:pPr>
        <w:spacing w:after="100" w:before="0"/>
      </w:pPr>
      <w:r>
        <w:rPr>
          <w:rFonts w:ascii="宋体" w:hAnsi="宋体"/>
          <w:b w:val="0"/>
          <w:sz w:val="22"/>
        </w:rPr>
        <w:t>这是进入平台后的默认页面，提供全球宏观视角下的FDI审查机制全景。</w:t>
      </w:r>
    </w:p>
    <w:p>
      <w:pPr>
        <w:spacing w:after="60"/>
      </w:pPr>
      <w:r>
        <w:rPr>
          <w:rFonts w:ascii="宋体" w:hAnsi="宋体"/>
          <w:b/>
          <w:sz w:val="22"/>
        </w:rPr>
        <w:t>① 世界地图</w:t>
      </w:r>
    </w:p>
    <w:p>
      <w:pPr>
        <w:spacing w:after="100" w:before="0"/>
        <w:ind w:left="454"/>
      </w:pPr>
      <w:r>
        <w:rPr>
          <w:rFonts w:ascii="宋体" w:hAnsi="宋体"/>
          <w:b w:val="0"/>
          <w:sz w:val="22"/>
        </w:rPr>
        <w:t>按当前年份以颜色深浅显示各国审查机制的某一维度（如严格程度、覆盖类型等）。鼠标悬停可查看该国指标数值，点击国家跳转至详情页。</w:t>
      </w:r>
    </w:p>
    <w:p>
      <w:pPr>
        <w:spacing w:after="60"/>
      </w:pPr>
      <w:r>
        <w:rPr>
          <w:rFonts w:ascii="宋体" w:hAnsi="宋体"/>
          <w:b/>
          <w:sz w:val="22"/>
        </w:rPr>
        <w:t>② Global Trend（全球趋势图）</w:t>
      </w:r>
    </w:p>
    <w:p>
      <w:pPr>
        <w:spacing w:after="100" w:before="0"/>
        <w:ind w:left="454"/>
      </w:pPr>
      <w:r>
        <w:rPr>
          <w:rFonts w:ascii="宋体" w:hAnsi="宋体"/>
          <w:b w:val="0"/>
          <w:sz w:val="22"/>
        </w:rPr>
        <w:t>折线图展示拥有某一审查特征的国家数量随年份的变化趋势；柱状图显示全球每年新增机制数量。图中两条彩色虚线标注了两个关键节点：2019年欧盟FDI法规（蓝色）和2020年新冠疫情引发的立法浪潮（橙色）。</w:t>
      </w:r>
    </w:p>
    <w:p>
      <w:pPr>
        <w:spacing w:after="60"/>
      </w:pPr>
      <w:r>
        <w:rPr>
          <w:rFonts w:ascii="宋体" w:hAnsi="宋体"/>
          <w:b/>
          <w:sz w:val="22"/>
        </w:rPr>
        <w:t>③ Snapshot（快照）</w:t>
      </w:r>
    </w:p>
    <w:p>
      <w:pPr>
        <w:spacing w:after="160" w:before="0"/>
        <w:ind w:left="454"/>
      </w:pPr>
      <w:r>
        <w:rPr>
          <w:rFonts w:ascii="宋体" w:hAnsi="宋体"/>
          <w:b w:val="0"/>
          <w:sz w:val="22"/>
        </w:rPr>
        <w:t>当前年份下各国关键指标的汇总列表，快速纵览所有国家的核心数据。</w:t>
      </w:r>
    </w:p>
    <w:p>
      <w:pPr>
        <w:pStyle w:val="Heading2"/>
        <w:spacing w:before="160" w:after="120"/>
      </w:pPr>
      <w:r>
        <w:rPr>
          <w:rFonts w:ascii="黑体" w:hAnsi="黑体"/>
          <w:color w:val="4F6F9E"/>
        </w:rPr>
        <w:t>Tab 02 · Country（国家详情）</w:t>
      </w:r>
    </w:p>
    <w:p>
      <w:pPr>
        <w:spacing w:after="100" w:before="0"/>
      </w:pPr>
      <w:r>
        <w:rPr>
          <w:rFonts w:ascii="宋体" w:hAnsi="宋体"/>
          <w:b w:val="0"/>
          <w:sz w:val="22"/>
        </w:rPr>
        <w:t>选中某个国家后进入该页，展示该国在当前年份下的全方位数据画像。</w:t>
      </w:r>
    </w:p>
    <w:p>
      <w:pPr>
        <w:spacing w:after="60"/>
        <w:ind w:left="170"/>
      </w:pPr>
      <w:r>
        <w:rPr>
          <w:rFonts w:ascii="宋体" w:hAnsi="宋体"/>
          <w:b/>
          <w:sz w:val="22"/>
        </w:rPr>
        <w:t>· 头部信息：</w:t>
      </w:r>
      <w:r>
        <w:rPr>
          <w:rFonts w:ascii="宋体" w:hAnsi="宋体"/>
          <w:sz w:val="22"/>
        </w:rPr>
        <w:t>国家名称、所属分组、机制数量、严格程度评分（0–13分）、覆盖行业数，一目了然。</w:t>
      </w:r>
    </w:p>
    <w:p>
      <w:pPr>
        <w:spacing w:after="60"/>
        <w:ind w:left="170"/>
      </w:pPr>
      <w:r>
        <w:rPr>
          <w:rFonts w:ascii="宋体" w:hAnsi="宋体"/>
          <w:b/>
          <w:sz w:val="22"/>
        </w:rPr>
        <w:t>· KPI指标卡：</w:t>
      </w:r>
      <w:r>
        <w:rPr>
          <w:rFonts w:ascii="宋体" w:hAnsi="宋体"/>
          <w:sz w:val="22"/>
        </w:rPr>
        <w:t>主管机构、覆盖类型、通知要求、预审批要求、审查门槛（股权比例）、审查期限（天数）等核心字段。</w:t>
      </w:r>
    </w:p>
    <w:p>
      <w:pPr>
        <w:spacing w:after="60"/>
        <w:ind w:left="170"/>
      </w:pPr>
      <w:r>
        <w:rPr>
          <w:rFonts w:ascii="宋体" w:hAnsi="宋体"/>
          <w:b/>
          <w:sz w:val="22"/>
        </w:rPr>
        <w:t>· 程序特征雷达图：</w:t>
      </w:r>
      <w:r>
        <w:rPr>
          <w:rFonts w:ascii="宋体" w:hAnsi="宋体"/>
          <w:sz w:val="22"/>
        </w:rPr>
        <w:t>将该国的8项核心程序特征与OECD平均水平对比展示；下拉菜单可叠加历史年份进行纵向比较，观察政策收紧或放松的轨迹。</w:t>
      </w:r>
    </w:p>
    <w:p>
      <w:pPr>
        <w:spacing w:after="60"/>
        <w:ind w:left="170"/>
      </w:pPr>
      <w:r>
        <w:rPr>
          <w:rFonts w:ascii="宋体" w:hAnsi="宋体"/>
          <w:b/>
          <w:sz w:val="22"/>
        </w:rPr>
        <w:t>· 功能标志矩阵：</w:t>
      </w:r>
      <w:r>
        <w:rPr>
          <w:rFonts w:ascii="宋体" w:hAnsi="宋体"/>
          <w:sz w:val="22"/>
        </w:rPr>
        <w:t>13项程序性权力的逐项打勾显示，包括：正式召回权、跨部门审查、国家安全测试、净收益测试、竞争测试、分级授权、罚款、缓解措施、申报费、本地代表要求、共置要求、增强政府控制、绿地投资覆盖。</w:t>
      </w:r>
    </w:p>
    <w:p>
      <w:pPr>
        <w:spacing w:after="60"/>
        <w:ind w:left="170"/>
      </w:pPr>
      <w:r>
        <w:rPr>
          <w:rFonts w:ascii="宋体" w:hAnsi="宋体"/>
          <w:b/>
          <w:sz w:val="22"/>
        </w:rPr>
        <w:t>· 法规时间线：</w:t>
      </w:r>
      <w:r>
        <w:rPr>
          <w:rFonts w:ascii="宋体" w:hAnsi="宋体"/>
          <w:sz w:val="22"/>
        </w:rPr>
        <w:t>该国所有相关法规按时间排列，点击任意一条可在右侧抽屉中查看法规完整详情和原始政策文本。</w:t>
      </w:r>
    </w:p>
    <w:p/>
    <w:p>
      <w:pPr>
        <w:pStyle w:val="Heading2"/>
        <w:spacing w:before="160" w:after="120"/>
      </w:pPr>
      <w:r>
        <w:rPr>
          <w:rFonts w:ascii="黑体" w:hAnsi="黑体"/>
          <w:color w:val="4F6F9E"/>
        </w:rPr>
        <w:t>Tab 03 · Comparison（多国对比）</w:t>
      </w:r>
    </w:p>
    <w:p>
      <w:pPr>
        <w:spacing w:after="100" w:before="0"/>
      </w:pPr>
      <w:r>
        <w:rPr>
          <w:rFonts w:ascii="宋体" w:hAnsi="宋体"/>
          <w:b w:val="0"/>
          <w:sz w:val="22"/>
        </w:rPr>
        <w:t>在同一年份下，将所有国家的多维指标并排展示，适合跨国横向比较。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平行坐标图：每条折线代表一个国家，坐标轴包括严格程度、审查门槛、审查期限、行业覆盖数等维度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可拖动各坐标轴上的区间滑块，筛选出满足特定条件的国家子集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鼠标悬停某条线时高亮该国全貌；点击可跳转至该国详情页</w:t>
      </w:r>
    </w:p>
    <w:p/>
    <w:p>
      <w:pPr>
        <w:pStyle w:val="Heading2"/>
        <w:spacing w:before="160" w:after="120"/>
      </w:pPr>
      <w:r>
        <w:rPr>
          <w:rFonts w:ascii="黑体" w:hAnsi="黑体"/>
          <w:color w:val="4F6F9E"/>
        </w:rPr>
        <w:t>Tab 04 · Evolution（法规演变）</w:t>
      </w:r>
    </w:p>
    <w:p>
      <w:pPr>
        <w:spacing w:after="100" w:before="0"/>
      </w:pPr>
      <w:r>
        <w:rPr>
          <w:rFonts w:ascii="宋体" w:hAnsi="宋体"/>
          <w:b w:val="0"/>
          <w:sz w:val="22"/>
        </w:rPr>
        <w:t>从多个维度呈现全球FDI审查机制的历史演变规律，包含六个子图表。</w:t>
      </w:r>
    </w:p>
    <w:p>
      <w:pPr>
        <w:spacing w:after="60"/>
        <w:ind w:left="170"/>
      </w:pPr>
      <w:r>
        <w:rPr>
          <w:rFonts w:ascii="宋体" w:hAnsi="宋体"/>
          <w:b/>
          <w:sz w:val="22"/>
        </w:rPr>
        <w:t>· 覆盖类型分布饼图：</w:t>
      </w:r>
      <w:r>
        <w:rPr>
          <w:rFonts w:ascii="宋体" w:hAnsi="宋体"/>
          <w:sz w:val="22"/>
        </w:rPr>
        <w:t>当前年份下各覆盖类型（行业型、跨行业型、混合型、资产型等）的国家数量分布，点击扇形可查看该类型所有国家列表</w:t>
      </w:r>
    </w:p>
    <w:p>
      <w:pPr>
        <w:spacing w:after="60"/>
        <w:ind w:left="170"/>
      </w:pPr>
      <w:r>
        <w:rPr>
          <w:rFonts w:ascii="宋体" w:hAnsi="宋体"/>
          <w:b/>
          <w:sz w:val="22"/>
        </w:rPr>
        <w:t>· Notification × Pre-approval矩阵：</w:t>
      </w:r>
      <w:r>
        <w:rPr>
          <w:rFonts w:ascii="宋体" w:hAnsi="宋体"/>
          <w:sz w:val="22"/>
        </w:rPr>
        <w:t>气泡图展示"通知要求"与"预审批要求"两个维度的组合分布，气泡大小代表该组合下的国家数量，点击气泡可查看详情</w:t>
      </w:r>
    </w:p>
    <w:p>
      <w:pPr>
        <w:spacing w:after="60"/>
        <w:ind w:left="170"/>
      </w:pPr>
      <w:r>
        <w:rPr>
          <w:rFonts w:ascii="宋体" w:hAnsi="宋体"/>
          <w:b/>
          <w:sz w:val="22"/>
        </w:rPr>
        <w:t>· 覆盖类型演变流图：</w:t>
      </w:r>
      <w:r>
        <w:rPr>
          <w:rFonts w:ascii="宋体" w:hAnsi="宋体"/>
          <w:sz w:val="22"/>
        </w:rPr>
        <w:t>堆叠面积图展示各覆盖类型在2007–2023年间的国家数量变化，直观观察政策模式的全球扩散趋势</w:t>
      </w:r>
    </w:p>
    <w:p>
      <w:pPr>
        <w:spacing w:after="60"/>
        <w:ind w:left="170"/>
      </w:pPr>
      <w:r>
        <w:rPr>
          <w:rFonts w:ascii="宋体" w:hAnsi="宋体"/>
          <w:b/>
          <w:sz w:val="22"/>
        </w:rPr>
        <w:t>· 严格程度分布图：</w:t>
      </w:r>
      <w:r>
        <w:rPr>
          <w:rFonts w:ascii="宋体" w:hAnsi="宋体"/>
          <w:sz w:val="22"/>
        </w:rPr>
        <w:t>历年严格程度评分的均值与区间分布，显示全球整体收紧或松动的趋势</w:t>
      </w:r>
    </w:p>
    <w:p>
      <w:pPr>
        <w:spacing w:after="60"/>
        <w:ind w:left="170"/>
      </w:pPr>
      <w:r>
        <w:rPr>
          <w:rFonts w:ascii="宋体" w:hAnsi="宋体"/>
          <w:b/>
          <w:sz w:val="22"/>
        </w:rPr>
        <w:t>· 阈值/时限散点图：</w:t>
      </w:r>
      <w:r>
        <w:rPr>
          <w:rFonts w:ascii="宋体" w:hAnsi="宋体"/>
          <w:sz w:val="22"/>
        </w:rPr>
        <w:t>各国机制在审查门槛（股权比例触发线）和审查时限两个维度上的散点分布，可切换横轴指标</w:t>
      </w:r>
    </w:p>
    <w:p>
      <w:pPr>
        <w:spacing w:after="60"/>
        <w:ind w:left="170"/>
      </w:pPr>
      <w:r>
        <w:rPr>
          <w:rFonts w:ascii="宋体" w:hAnsi="宋体"/>
          <w:b/>
          <w:sz w:val="22"/>
        </w:rPr>
        <w:t>· 法规替代关系网络图：</w:t>
      </w:r>
      <w:r>
        <w:rPr>
          <w:rFonts w:ascii="宋体" w:hAnsi="宋体"/>
          <w:sz w:val="22"/>
        </w:rPr>
        <w:t>有向网络图展示哪些旧法规被新法规所替代，节点颜色代表国家分组，点击节点可查看国家详情</w:t>
      </w:r>
    </w:p>
    <w:p/>
    <w:p>
      <w:pPr>
        <w:pStyle w:val="Heading2"/>
        <w:spacing w:before="160" w:after="120"/>
      </w:pPr>
      <w:r>
        <w:rPr>
          <w:rFonts w:ascii="黑体" w:hAnsi="黑体"/>
          <w:color w:val="4F6F9E"/>
        </w:rPr>
        <w:t>Tab 05 · Changes（立法活动）</w:t>
      </w:r>
    </w:p>
    <w:p>
      <w:pPr>
        <w:spacing w:after="100" w:before="0"/>
      </w:pPr>
      <w:r>
        <w:rPr>
          <w:rFonts w:ascii="宋体" w:hAnsi="宋体"/>
          <w:b w:val="0"/>
          <w:sz w:val="22"/>
        </w:rPr>
        <w:t>聚焦各年度的立法事件，适合追踪特定年份（如2019、2020年）的政策动向。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全球立法活动堆叠柱状图：按年份显示新立法、修正案、行政命令、实施细则四类立法活动的数量，点击某年的柱体即可在下方显示该年度所有事件列表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立法事件列表：显示每条事件的国家、法规名称、类型标签（New Law / Amendment / Exec. Order）和摘要说明，点击任意事件可弹出完整政策文本</w:t>
      </w:r>
    </w:p>
    <w:p/>
    <w:p>
      <w:pPr>
        <w:pStyle w:val="Heading2"/>
        <w:spacing w:before="160" w:after="120"/>
      </w:pPr>
      <w:r>
        <w:rPr>
          <w:rFonts w:ascii="黑体" w:hAnsi="黑体"/>
          <w:color w:val="4F6F9E"/>
        </w:rPr>
        <w:t>Tab 06 · Sectors（行业分析）</w:t>
      </w:r>
    </w:p>
    <w:p>
      <w:pPr>
        <w:spacing w:after="100" w:before="0"/>
      </w:pPr>
      <w:r>
        <w:rPr>
          <w:rFonts w:ascii="宋体" w:hAnsi="宋体"/>
          <w:b w:val="0"/>
          <w:sz w:val="22"/>
        </w:rPr>
        <w:t>专注于行业层面的覆盖情况分析，适合研究特定行业（如人工智能、半导体、电信）的全球监管扩散。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行业覆盖热力图：行（国家）× 列（行业）的矩阵，有颜色代表该国覆盖该行业，支持按行业大类（防务、关键基础设施、新技术等）和细分行业切换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行业排名动态赛马图：可播放逐年动画，展示各行业被覆盖的国家数量随年份竞争增长的动态，直观呈现哪些行业监管扩散最快</w:t>
      </w:r>
    </w:p>
    <w:p>
      <w:pPr>
        <w:pStyle w:val="Heading1"/>
        <w:spacing w:before="280" w:after="120"/>
      </w:pPr>
      <w:r>
        <w:rPr>
          <w:rFonts w:ascii="黑体" w:hAnsi="黑体"/>
          <w:color w:val="2B3344"/>
        </w:rPr>
        <w:t>四、AI数据问答功能</w:t>
      </w:r>
    </w:p>
    <w:p>
      <w:pPr>
        <w:spacing w:after="120" w:before="0"/>
      </w:pPr>
      <w:r>
        <w:rPr>
          <w:rFonts w:ascii="宋体" w:hAnsi="宋体"/>
          <w:b w:val="0"/>
          <w:sz w:val="22"/>
        </w:rPr>
        <w:t>点击右上角"Ask AI"按钮打开AI对话面板，可用自然语言直接提问，系统基于当前筛选的数据上下文生成回答。</w:t>
      </w:r>
    </w:p>
    <w:p>
      <w:pPr>
        <w:pStyle w:val="Heading2"/>
        <w:spacing w:before="160" w:after="120"/>
      </w:pPr>
      <w:r>
        <w:rPr>
          <w:rFonts w:ascii="黑体" w:hAnsi="黑体"/>
          <w:color w:val="4F6F9E"/>
        </w:rPr>
        <w:t>支持的AI模型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Anthropic Claude（claude-sonnet、claude-haiku等）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OpenAI GPT（gpt-4o、gpt-4o-mini等）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DeepSeek（deepseek-chat）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Moonshot Kimi（moonshot-v1系列）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智谱GLM（glm-4-flash等）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任意OpenAI接口兼容的自定义模型</w:t>
      </w:r>
    </w:p>
    <w:p>
      <w:pPr>
        <w:pStyle w:val="Heading2"/>
        <w:spacing w:before="160" w:after="120"/>
      </w:pPr>
      <w:r>
        <w:rPr>
          <w:rFonts w:ascii="黑体" w:hAnsi="黑体"/>
          <w:color w:val="4F6F9E"/>
        </w:rPr>
        <w:t>配置方法</w:t>
      </w:r>
    </w:p>
    <w:p>
      <w:pPr>
        <w:spacing w:after="60"/>
        <w:ind w:left="454"/>
      </w:pPr>
      <w:r>
        <w:rPr>
          <w:rFonts w:ascii="宋体" w:hAnsi="宋体"/>
          <w:sz w:val="22"/>
        </w:rPr>
        <w:t>1. 点击对话框右上角的 ⚙ 图标</w:t>
      </w:r>
    </w:p>
    <w:p>
      <w:pPr>
        <w:spacing w:after="60"/>
        <w:ind w:left="454"/>
      </w:pPr>
      <w:r>
        <w:rPr>
          <w:rFonts w:ascii="宋体" w:hAnsi="宋体"/>
          <w:sz w:val="22"/>
        </w:rPr>
        <w:t>2. 在下拉菜单中选择API提供商</w:t>
      </w:r>
    </w:p>
    <w:p>
      <w:pPr>
        <w:spacing w:after="60"/>
        <w:ind w:left="454"/>
      </w:pPr>
      <w:r>
        <w:rPr>
          <w:rFonts w:ascii="宋体" w:hAnsi="宋体"/>
          <w:sz w:val="22"/>
        </w:rPr>
        <w:t>3. 填入模型名称和API Key</w:t>
      </w:r>
    </w:p>
    <w:p>
      <w:pPr>
        <w:spacing w:after="60"/>
        <w:ind w:left="454"/>
      </w:pPr>
      <w:r>
        <w:rPr>
          <w:rFonts w:ascii="宋体" w:hAnsi="宋体"/>
          <w:sz w:val="22"/>
        </w:rPr>
        <w:t>4. 按 Enter 键或点击"Save"按钮保存</w:t>
      </w:r>
    </w:p>
    <w:p>
      <w:pPr>
        <w:spacing w:after="60"/>
        <w:ind w:left="454"/>
      </w:pPr>
      <w:r>
        <w:rPr>
          <w:rFonts w:ascii="宋体" w:hAnsi="宋体"/>
          <w:sz w:val="22"/>
        </w:rPr>
        <w:t>5. 配置保存在浏览器本地，刷新页面不会丢失</w:t>
      </w:r>
    </w:p>
    <w:p>
      <w:pPr>
        <w:pStyle w:val="Heading2"/>
        <w:spacing w:before="160" w:after="120"/>
      </w:pPr>
      <w:r>
        <w:rPr>
          <w:rFonts w:ascii="黑体" w:hAnsi="黑体"/>
          <w:color w:val="4F6F9E"/>
        </w:rPr>
        <w:t>问答能力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比较两国或多国的审查机制差异（如"比较美国和德国的FDI审查制度"）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识别趋势（如"2020年后哪些国家新增了预审批要求"）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解释字段含义（如"严格程度评分是如何计算的"）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分析特定行业（如"哪些国家将人工智能纳入审查范围"）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2"/>
        </w:rPr>
        <w:t>页面会根据当前所在标签页和选中国家自动生成4个推荐问题</w:t>
      </w:r>
    </w:p>
    <w:p>
      <w:pPr>
        <w:pStyle w:val="Heading1"/>
        <w:spacing w:before="280" w:after="120"/>
      </w:pPr>
      <w:r>
        <w:rPr>
          <w:rFonts w:ascii="黑体" w:hAnsi="黑体"/>
          <w:color w:val="2B3344"/>
        </w:rPr>
        <w:t>五、其他功能</w:t>
      </w:r>
    </w:p>
    <w:p>
      <w:pPr>
        <w:spacing w:after="100"/>
        <w:ind w:left="170"/>
      </w:pPr>
      <w:r>
        <w:rPr>
          <w:rFonts w:ascii="宋体" w:hAnsi="宋体"/>
          <w:b/>
          <w:sz w:val="22"/>
        </w:rPr>
        <w:t>· 全局搜索：</w:t>
      </w:r>
      <w:r>
        <w:rPr>
          <w:rFonts w:ascii="宋体" w:hAnsi="宋体"/>
          <w:sz w:val="22"/>
        </w:rPr>
        <w:t>顶部搜索框（快捷键"/"激活），可检索国家名称、法规标题、主管机构名称以及141份政策文本的完整内容。</w:t>
      </w:r>
    </w:p>
    <w:p>
      <w:pPr>
        <w:spacing w:after="100"/>
        <w:ind w:left="170"/>
      </w:pPr>
      <w:r>
        <w:rPr>
          <w:rFonts w:ascii="宋体" w:hAnsi="宋体"/>
          <w:b/>
          <w:sz w:val="22"/>
        </w:rPr>
        <w:t>· 法规详情抽屉：</w:t>
      </w:r>
      <w:r>
        <w:rPr>
          <w:rFonts w:ascii="宋体" w:hAnsi="宋体"/>
          <w:sz w:val="22"/>
        </w:rPr>
        <w:t>在Country或Changes页面点击任意法规事件，页面右侧滑出抽屉面板，显示法规完整详情，包括覆盖类型、签署年份、主管机构、政策摘要，以及原始政策文本链接（PDF/HTML）。</w:t>
      </w:r>
    </w:p>
    <w:p>
      <w:pPr>
        <w:spacing w:after="100"/>
        <w:ind w:left="170"/>
      </w:pPr>
      <w:r>
        <w:rPr>
          <w:rFonts w:ascii="宋体" w:hAnsi="宋体"/>
          <w:b/>
          <w:sz w:val="22"/>
        </w:rPr>
        <w:t>· 响应式布局：</w:t>
      </w:r>
      <w:r>
        <w:rPr>
          <w:rFonts w:ascii="宋体" w:hAnsi="宋体"/>
          <w:sz w:val="22"/>
        </w:rPr>
        <w:t>支持宽屏显示器、笔记本电脑、平板等不同屏幕尺寸，图表自动适配。</w:t>
      </w:r>
    </w:p>
    <w:p>
      <w:pPr>
        <w:spacing w:after="100"/>
        <w:ind w:left="170"/>
      </w:pPr>
      <w:r>
        <w:rPr>
          <w:rFonts w:ascii="宋体" w:hAnsi="宋体"/>
          <w:b/>
          <w:sz w:val="22"/>
        </w:rPr>
        <w:t>· 键盘快捷键：</w:t>
      </w:r>
      <w:r>
        <w:rPr>
          <w:rFonts w:ascii="宋体" w:hAnsi="宋体"/>
          <w:sz w:val="22"/>
        </w:rPr>
        <w:t>"/"键快速激活搜索框，"Escape"键关闭当前面板。</w:t>
      </w:r>
    </w:p>
    <w:p>
      <w:pPr>
        <w:pStyle w:val="Heading1"/>
        <w:spacing w:before="280" w:after="120"/>
      </w:pPr>
      <w:r>
        <w:rPr>
          <w:rFonts w:ascii="黑体" w:hAnsi="黑体"/>
          <w:color w:val="2B3344"/>
        </w:rPr>
        <w:t>六、数据说明</w:t>
      </w:r>
    </w:p>
    <w:p>
      <w:pPr>
        <w:pStyle w:val="Heading2"/>
        <w:spacing w:before="160" w:after="120"/>
      </w:pPr>
      <w:r>
        <w:rPr>
          <w:rFonts w:ascii="黑体" w:hAnsi="黑体"/>
          <w:color w:val="4F6F9E"/>
        </w:rPr>
        <w:t>数据来源</w:t>
      </w:r>
    </w:p>
    <w:p>
      <w:pPr>
        <w:spacing w:after="120" w:before="0"/>
      </w:pPr>
      <w:r>
        <w:rPr>
          <w:rFonts w:ascii="宋体" w:hAnsi="宋体"/>
          <w:b w:val="0"/>
          <w:sz w:val="22"/>
        </w:rPr>
        <w:t>本平台使用的数据集为 PRISM ISM Dataset（2023.12版本），包含截至2023年底各国FDI审查机制的完整状态及历史演变记录。</w:t>
      </w:r>
    </w:p>
    <w:p>
      <w:pPr>
        <w:pStyle w:val="Heading2"/>
        <w:spacing w:before="160" w:after="120"/>
      </w:pPr>
      <w:r>
        <w:rPr>
          <w:rFonts w:ascii="黑体" w:hAnsi="黑体"/>
          <w:color w:val="4F6F9E"/>
        </w:rPr>
        <w:t>严格程度评分（Strictness Score，0–13分）</w:t>
      </w:r>
    </w:p>
    <w:p>
      <w:pPr>
        <w:spacing w:after="80" w:before="0"/>
      </w:pPr>
      <w:r>
        <w:rPr>
          <w:rFonts w:ascii="宋体" w:hAnsi="宋体"/>
          <w:b w:val="0"/>
          <w:sz w:val="22"/>
        </w:rPr>
        <w:t>由以下13项程序性权力逐项累加得出（具备该项权力计1分，否则计0分）：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0"/>
        </w:rPr>
        <w:t>Formal Call-in（正式召回权）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0"/>
        </w:rPr>
        <w:t>Review of Increased Ownership（股权增持审查）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0"/>
        </w:rPr>
        <w:t>Filing Fees（申报费）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0"/>
        </w:rPr>
        <w:t>Mitigation（缓解措施权）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0"/>
        </w:rPr>
        <w:t>Fines（罚款权）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0"/>
        </w:rPr>
        <w:t>National Security Test（国家安全测试）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0"/>
        </w:rPr>
        <w:t>Net Benefit Test（净收益测试）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0"/>
        </w:rPr>
        <w:t>Competition Test（竞争测试）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0"/>
        </w:rPr>
        <w:t>Interagency Review（跨部门联合审查）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0"/>
        </w:rPr>
        <w:t>Tiered Authority（分级授权）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0"/>
        </w:rPr>
        <w:t>Local Representation（本地代表要求）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0"/>
        </w:rPr>
        <w:t>Enhanced Government Control（增强政府控制权）</w:t>
      </w:r>
    </w:p>
    <w:p>
      <w:pPr>
        <w:pStyle w:val="ListBullet"/>
        <w:spacing w:after="60" w:before="0"/>
        <w:ind w:left="454"/>
      </w:pPr>
      <w:r>
        <w:rPr>
          <w:rFonts w:ascii="宋体" w:hAnsi="宋体"/>
          <w:sz w:val="20"/>
        </w:rPr>
        <w:t>Co-location（共置要求）</w:t>
      </w:r>
    </w:p>
    <w:p>
      <w:pPr>
        <w:pStyle w:val="Heading2"/>
        <w:spacing w:before="160" w:after="120"/>
      </w:pPr>
      <w:r>
        <w:rPr>
          <w:rFonts w:ascii="黑体" w:hAnsi="黑体"/>
          <w:color w:val="4F6F9E"/>
        </w:rPr>
        <w:t>覆盖类型分类</w:t>
      </w:r>
    </w:p>
    <w:p>
      <w:pPr>
        <w:spacing w:after="60"/>
        <w:ind w:left="454"/>
      </w:pPr>
      <w:r>
        <w:rPr>
          <w:rFonts w:ascii="宋体" w:hAnsi="宋体"/>
          <w:b/>
          <w:sz w:val="22"/>
        </w:rPr>
        <w:t>Sectoral（行业型）：</w:t>
      </w:r>
      <w:r>
        <w:rPr>
          <w:rFonts w:ascii="宋体" w:hAnsi="宋体"/>
          <w:sz w:val="22"/>
        </w:rPr>
        <w:t>仅针对特定敏感行业实施审查</w:t>
      </w:r>
    </w:p>
    <w:p>
      <w:pPr>
        <w:spacing w:after="60"/>
        <w:ind w:left="454"/>
      </w:pPr>
      <w:r>
        <w:rPr>
          <w:rFonts w:ascii="宋体" w:hAnsi="宋体"/>
          <w:b/>
          <w:sz w:val="22"/>
        </w:rPr>
        <w:t>Cross-sectoral（跨行业型）：</w:t>
      </w:r>
      <w:r>
        <w:rPr>
          <w:rFonts w:ascii="宋体" w:hAnsi="宋体"/>
          <w:sz w:val="22"/>
        </w:rPr>
        <w:t>对所有或大多数行业实施统一审查</w:t>
      </w:r>
    </w:p>
    <w:p>
      <w:pPr>
        <w:spacing w:after="60"/>
        <w:ind w:left="454"/>
      </w:pPr>
      <w:r>
        <w:rPr>
          <w:rFonts w:ascii="宋体" w:hAnsi="宋体"/>
          <w:b/>
          <w:sz w:val="22"/>
        </w:rPr>
        <w:t>Mixed（混合型）：</w:t>
      </w:r>
      <w:r>
        <w:rPr>
          <w:rFonts w:ascii="宋体" w:hAnsi="宋体"/>
          <w:sz w:val="22"/>
        </w:rPr>
        <w:t>兼具行业型和跨行业型特征</w:t>
      </w:r>
    </w:p>
    <w:p>
      <w:pPr>
        <w:spacing w:after="60"/>
        <w:ind w:left="454"/>
      </w:pPr>
      <w:r>
        <w:rPr>
          <w:rFonts w:ascii="宋体" w:hAnsi="宋体"/>
          <w:b/>
          <w:sz w:val="22"/>
        </w:rPr>
        <w:t>Asset-based（资产型）：</w:t>
      </w:r>
      <w:r>
        <w:rPr>
          <w:rFonts w:ascii="宋体" w:hAnsi="宋体"/>
          <w:sz w:val="22"/>
        </w:rPr>
        <w:t>以资产类别（如土地、基础设施）为触发条件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