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4DB4" w14:textId="171C7CB9" w:rsidR="000042BC" w:rsidRPr="00DE3F2A" w:rsidRDefault="00A311F3" w:rsidP="000042B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Slide </w:t>
      </w:r>
      <w:r w:rsidR="000F4950">
        <w:rPr>
          <w:color w:val="FF0000"/>
          <w:lang w:val="en-US"/>
        </w:rPr>
        <w:t>3</w:t>
      </w:r>
      <w:r w:rsidR="0037262E">
        <w:rPr>
          <w:color w:val="FF0000"/>
          <w:lang w:val="en-US"/>
        </w:rPr>
        <w:t xml:space="preserve"> </w:t>
      </w:r>
      <w:r w:rsidR="002256AE">
        <w:rPr>
          <w:color w:val="000000" w:themeColor="text1"/>
          <w:lang w:val="en-US"/>
        </w:rPr>
        <w:t>##</w:t>
      </w:r>
      <w:r w:rsidR="007D5F17">
        <w:rPr>
          <w:color w:val="000000" w:themeColor="text1"/>
          <w:lang w:val="en-US"/>
        </w:rPr>
        <w:t>Epigenetics</w:t>
      </w:r>
      <w:r w:rsidR="000042BC">
        <w:rPr>
          <w:color w:val="000000" w:themeColor="text1"/>
          <w:lang w:val="en-US"/>
        </w:rPr>
        <w:t xml:space="preserve"> </w:t>
      </w:r>
      <w:r w:rsidR="00513590">
        <w:rPr>
          <w:color w:val="000000" w:themeColor="text1"/>
          <w:lang w:val="en-US"/>
        </w:rPr>
        <w:t>–</w:t>
      </w:r>
      <w:r w:rsidR="000042BC" w:rsidRPr="000042BC">
        <w:rPr>
          <w:color w:val="000000" w:themeColor="text1"/>
          <w:lang w:val="en-US"/>
        </w:rPr>
        <w:t xml:space="preserve"> </w:t>
      </w:r>
      <w:r w:rsidR="00513590">
        <w:rPr>
          <w:color w:val="000000" w:themeColor="text1"/>
          <w:lang w:val="en-US"/>
        </w:rPr>
        <w:t>Swathy &amp; Banerjee</w:t>
      </w:r>
      <w:r w:rsidR="000042BC" w:rsidRPr="00DE3F2A">
        <w:rPr>
          <w:color w:val="000000" w:themeColor="text1"/>
          <w:lang w:val="en-US"/>
        </w:rPr>
        <w:t xml:space="preserve">  </w:t>
      </w:r>
    </w:p>
    <w:p w14:paraId="25E823D2" w14:textId="77777777" w:rsidR="000042BC" w:rsidRPr="00DE3F2A" w:rsidRDefault="000042BC" w:rsidP="000042BC">
      <w:pPr>
        <w:rPr>
          <w:color w:val="FF0000"/>
          <w:lang w:val="en-US"/>
        </w:rPr>
      </w:pPr>
    </w:p>
    <w:p w14:paraId="55B2F5A5" w14:textId="01F4E8DE" w:rsidR="000042BC" w:rsidRPr="00DE3F2A" w:rsidRDefault="00513590" w:rsidP="000042BC">
      <w:pPr>
        <w:spacing w:line="276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Here we have a portrayal</w:t>
      </w:r>
      <w:r w:rsidR="000042BC" w:rsidRPr="00DE3F2A">
        <w:rPr>
          <w:color w:val="000000" w:themeColor="text1"/>
          <w:lang w:val="en-US"/>
        </w:rPr>
        <w:t xml:space="preserve"> of epigenetic </w:t>
      </w:r>
      <w:r>
        <w:rPr>
          <w:color w:val="000000" w:themeColor="text1"/>
          <w:lang w:val="en-US"/>
        </w:rPr>
        <w:t xml:space="preserve">modifications associated with pharmacology. </w:t>
      </w:r>
      <w:r w:rsidR="000042BC" w:rsidRPr="00DE3F2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It</w:t>
      </w:r>
      <w:r w:rsidR="000042BC" w:rsidRPr="00DE3F2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shows</w:t>
      </w:r>
      <w:r w:rsidR="000042BC" w:rsidRPr="00DE3F2A">
        <w:rPr>
          <w:color w:val="000000" w:themeColor="text1"/>
          <w:lang w:val="en-US"/>
        </w:rPr>
        <w:t xml:space="preserve"> cellular activities from histone modifications, microRNAs and DNA methylation.  There is crosstalk between the different mechanisms, and all have an important role in the etiology of major psychosis </w:t>
      </w:r>
      <w:r>
        <w:rPr>
          <w:color w:val="000000" w:themeColor="text1"/>
          <w:lang w:val="en-US"/>
        </w:rPr>
        <w:t xml:space="preserve">and medication response. </w:t>
      </w:r>
      <w:r w:rsidR="000042BC" w:rsidRPr="00DE3F2A">
        <w:rPr>
          <w:color w:val="000000" w:themeColor="text1"/>
          <w:lang w:val="en-US"/>
        </w:rPr>
        <w:t>DNA methylation</w:t>
      </w:r>
      <w:r w:rsidR="007946D1">
        <w:rPr>
          <w:color w:val="000000" w:themeColor="text1"/>
          <w:lang w:val="en-US"/>
        </w:rPr>
        <w:t xml:space="preserve">, for our study, </w:t>
      </w:r>
      <w:r w:rsidR="000042BC" w:rsidRPr="00DE3F2A">
        <w:rPr>
          <w:color w:val="000000" w:themeColor="text1"/>
          <w:lang w:val="en-US"/>
        </w:rPr>
        <w:t xml:space="preserve">is </w:t>
      </w:r>
      <w:r>
        <w:rPr>
          <w:color w:val="000000" w:themeColor="text1"/>
          <w:lang w:val="en-US"/>
        </w:rPr>
        <w:t>covalent binding of a methyl group to the 5</w:t>
      </w:r>
      <w:r w:rsidRPr="00513590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carbon of a cytosine</w:t>
      </w:r>
      <w:r w:rsidR="007946D1">
        <w:rPr>
          <w:color w:val="000000" w:themeColor="text1"/>
          <w:lang w:val="en-US"/>
        </w:rPr>
        <w:t xml:space="preserve">s that sit adjacent to guanines. </w:t>
      </w:r>
      <w:r w:rsidR="004329BB">
        <w:rPr>
          <w:color w:val="000000" w:themeColor="text1"/>
          <w:lang w:val="en-US"/>
        </w:rPr>
        <w:t>It is associated with alterations in gene regulation</w:t>
      </w:r>
      <w:r w:rsidR="000D7103">
        <w:rPr>
          <w:color w:val="000000" w:themeColor="text1"/>
          <w:lang w:val="en-US"/>
        </w:rPr>
        <w:t xml:space="preserve"> – and the aim of these studies is to understand the interface between antipsychotic treatment and genetic regulation. </w:t>
      </w:r>
    </w:p>
    <w:p w14:paraId="1FA361D5" w14:textId="59ECF76D" w:rsidR="00A311F3" w:rsidRDefault="00A311F3">
      <w:pPr>
        <w:rPr>
          <w:color w:val="FF0000"/>
          <w:lang w:val="en-US"/>
        </w:rPr>
      </w:pPr>
    </w:p>
    <w:p w14:paraId="1462F7D8" w14:textId="2D9EB705" w:rsidR="007D5F17" w:rsidRPr="0037262E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Slide </w:t>
      </w:r>
      <w:r w:rsidR="000F4950">
        <w:rPr>
          <w:color w:val="FF0000"/>
          <w:lang w:val="en-US"/>
        </w:rPr>
        <w:t>4</w:t>
      </w:r>
      <w:r w:rsidR="0037262E">
        <w:rPr>
          <w:color w:val="FF0000"/>
          <w:lang w:val="en-US"/>
        </w:rPr>
        <w:t xml:space="preserve"> </w:t>
      </w:r>
      <w:r w:rsidR="002256AE">
        <w:rPr>
          <w:color w:val="000000" w:themeColor="text1"/>
          <w:lang w:val="en-US"/>
        </w:rPr>
        <w:t>##</w:t>
      </w:r>
      <w:r w:rsidR="007D5F17">
        <w:rPr>
          <w:color w:val="000000" w:themeColor="text1"/>
          <w:lang w:val="en-US"/>
        </w:rPr>
        <w:t>Background</w:t>
      </w:r>
      <w:r w:rsidR="0037262E">
        <w:rPr>
          <w:color w:val="000000" w:themeColor="text1"/>
          <w:lang w:val="en-US"/>
        </w:rPr>
        <w:t xml:space="preserve"> - </w:t>
      </w:r>
      <w:r w:rsidR="0037262E" w:rsidRPr="007D5F17">
        <w:rPr>
          <w:color w:val="000000" w:themeColor="text1"/>
          <w:lang w:val="en-US"/>
        </w:rPr>
        <w:t>Psychosis</w:t>
      </w:r>
    </w:p>
    <w:p w14:paraId="37ABA069" w14:textId="4E35AE7D" w:rsidR="007D5F17" w:rsidRDefault="007D5F17">
      <w:pPr>
        <w:rPr>
          <w:color w:val="000000" w:themeColor="text1"/>
          <w:lang w:val="en-US"/>
        </w:rPr>
      </w:pPr>
    </w:p>
    <w:p w14:paraId="1F88C285" w14:textId="77777777" w:rsidR="00F63F78" w:rsidRDefault="0037262E" w:rsidP="002A294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2A294C">
        <w:rPr>
          <w:color w:val="000000" w:themeColor="text1"/>
          <w:lang w:val="en-US"/>
        </w:rPr>
        <w:t>Symptoms</w:t>
      </w:r>
      <w:r w:rsidR="00F63F78">
        <w:rPr>
          <w:color w:val="000000" w:themeColor="text1"/>
          <w:lang w:val="en-US"/>
        </w:rPr>
        <w:t>:</w:t>
      </w:r>
    </w:p>
    <w:p w14:paraId="1589BF15" w14:textId="0CA4E55B" w:rsidR="00F63F78" w:rsidRDefault="00F63F78" w:rsidP="00F63F7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Hallucinations</w:t>
      </w:r>
      <w:r w:rsidR="00B337CA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delusions</w:t>
      </w:r>
      <w:r w:rsidR="00B337CA">
        <w:rPr>
          <w:color w:val="000000" w:themeColor="text1"/>
          <w:lang w:val="en-US"/>
        </w:rPr>
        <w:t>, loss of contact with reality</w:t>
      </w:r>
    </w:p>
    <w:p w14:paraId="2CFF8031" w14:textId="6BC559B1" w:rsidR="00B337CA" w:rsidRDefault="00B337CA" w:rsidP="00F63F7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Loss of insight into their condition – tough  to accept treatment</w:t>
      </w:r>
    </w:p>
    <w:p w14:paraId="7C73E326" w14:textId="242559E3" w:rsidR="007D5F17" w:rsidRDefault="00F63F78" w:rsidP="00F63F7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May manifest at different states of </w:t>
      </w:r>
      <w:r w:rsidR="007D5F17" w:rsidRPr="002A294C">
        <w:rPr>
          <w:color w:val="000000" w:themeColor="text1"/>
          <w:lang w:val="en-US"/>
        </w:rPr>
        <w:t xml:space="preserve"> SCZ, BPD and MDD </w:t>
      </w:r>
    </w:p>
    <w:p w14:paraId="47F61E06" w14:textId="6746DCEE" w:rsidR="00F63F78" w:rsidRDefault="00F63F78" w:rsidP="00F63F7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Treatment:</w:t>
      </w:r>
    </w:p>
    <w:p w14:paraId="24969158" w14:textId="75C661C5" w:rsidR="00F63F78" w:rsidRDefault="00F63F78" w:rsidP="00F63F7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Antipsychotics first line of treatment and alleviate or reduce symptoms</w:t>
      </w:r>
    </w:p>
    <w:p w14:paraId="56A1C71D" w14:textId="687D74C0" w:rsidR="00F63F78" w:rsidRDefault="00F63F78" w:rsidP="00F63F7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Long-term use associated with side effects</w:t>
      </w:r>
    </w:p>
    <w:p w14:paraId="2FF4D460" w14:textId="23E45AF0" w:rsidR="00F63F78" w:rsidRDefault="00F63F78" w:rsidP="00F63F7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Biomarkers:</w:t>
      </w:r>
    </w:p>
    <w:p w14:paraId="024C0F33" w14:textId="40DDEFB8" w:rsidR="003F5BFD" w:rsidRPr="00BF11A7" w:rsidRDefault="00F63F78" w:rsidP="00BF11A7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Lack of knowledge about pathophysiology and mechanisms of drug action make this difficult. </w:t>
      </w:r>
    </w:p>
    <w:p w14:paraId="135FDF3C" w14:textId="2CA29EB6" w:rsidR="007D5F17" w:rsidRDefault="007D5F17">
      <w:pPr>
        <w:rPr>
          <w:color w:val="000000" w:themeColor="text1"/>
          <w:lang w:val="en-US"/>
        </w:rPr>
      </w:pPr>
    </w:p>
    <w:p w14:paraId="30C9A765" w14:textId="7735745C" w:rsidR="000042BC" w:rsidRPr="0037262E" w:rsidRDefault="000042BC" w:rsidP="000042B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Slide </w:t>
      </w:r>
      <w:r w:rsidR="000F4950">
        <w:rPr>
          <w:color w:val="FF0000"/>
          <w:lang w:val="en-US"/>
        </w:rPr>
        <w:t>5</w:t>
      </w:r>
      <w:r w:rsidR="0037262E">
        <w:rPr>
          <w:color w:val="FF0000"/>
          <w:lang w:val="en-US"/>
        </w:rPr>
        <w:t xml:space="preserve"> </w:t>
      </w:r>
      <w:r w:rsidR="002256AE" w:rsidRPr="000042BC">
        <w:rPr>
          <w:color w:val="000000" w:themeColor="text1"/>
          <w:lang w:val="en-US"/>
        </w:rPr>
        <w:t>## Background</w:t>
      </w:r>
      <w:r>
        <w:rPr>
          <w:color w:val="000000" w:themeColor="text1"/>
          <w:lang w:val="en-US"/>
        </w:rPr>
        <w:t xml:space="preserve"> </w:t>
      </w:r>
      <w:r w:rsidR="00F95A35">
        <w:rPr>
          <w:color w:val="000000" w:themeColor="text1"/>
          <w:lang w:val="en-US"/>
        </w:rPr>
        <w:t>Antisychotics</w:t>
      </w:r>
      <w:r>
        <w:rPr>
          <w:color w:val="000000" w:themeColor="text1"/>
          <w:lang w:val="en-US"/>
        </w:rPr>
        <w:t xml:space="preserve"> </w:t>
      </w:r>
    </w:p>
    <w:p w14:paraId="1D5F08F5" w14:textId="4327A176" w:rsidR="002256AE" w:rsidRPr="000042BC" w:rsidRDefault="002256AE">
      <w:pPr>
        <w:rPr>
          <w:color w:val="000000" w:themeColor="text1"/>
          <w:lang w:val="en-US"/>
        </w:rPr>
      </w:pPr>
    </w:p>
    <w:p w14:paraId="0579DC25" w14:textId="77777777" w:rsidR="00B337CA" w:rsidRPr="00B337CA" w:rsidRDefault="00B337CA" w:rsidP="00B337CA">
      <w:pPr>
        <w:rPr>
          <w:color w:val="000000" w:themeColor="text1"/>
          <w:lang w:val="en-US"/>
        </w:rPr>
      </w:pPr>
      <w:r w:rsidRPr="00B337CA">
        <w:rPr>
          <w:color w:val="000000" w:themeColor="text1"/>
          <w:lang w:val="en-US"/>
        </w:rPr>
        <w:t>* Mechanism: alterations in multiple neurotransmitter systems &amp; genes &lt;br&gt; &lt;br&gt;</w:t>
      </w:r>
    </w:p>
    <w:p w14:paraId="2EFF3196" w14:textId="77777777" w:rsidR="00B337CA" w:rsidRPr="00B337CA" w:rsidRDefault="00B337CA" w:rsidP="00B337CA">
      <w:pPr>
        <w:rPr>
          <w:color w:val="000000" w:themeColor="text1"/>
          <w:lang w:val="en-US"/>
        </w:rPr>
      </w:pPr>
      <w:r w:rsidRPr="00B337CA">
        <w:rPr>
          <w:color w:val="000000" w:themeColor="text1"/>
          <w:lang w:val="en-US"/>
        </w:rPr>
        <w:t xml:space="preserve"> - GABA/Glutamate &lt;br&gt; </w:t>
      </w:r>
    </w:p>
    <w:p w14:paraId="0F1E1F89" w14:textId="77777777" w:rsidR="00B337CA" w:rsidRPr="00B337CA" w:rsidRDefault="00B337CA" w:rsidP="00B337CA">
      <w:pPr>
        <w:rPr>
          <w:color w:val="000000" w:themeColor="text1"/>
          <w:lang w:val="en-US"/>
        </w:rPr>
      </w:pPr>
      <w:r w:rsidRPr="00B337CA">
        <w:rPr>
          <w:color w:val="000000" w:themeColor="text1"/>
          <w:lang w:val="en-US"/>
        </w:rPr>
        <w:t xml:space="preserve"> - Voltage-gated Calcium channels &lt;br&gt; </w:t>
      </w:r>
    </w:p>
    <w:p w14:paraId="11AC8EA8" w14:textId="77777777" w:rsidR="00B337CA" w:rsidRPr="00B337CA" w:rsidRDefault="00B337CA" w:rsidP="00B337CA">
      <w:pPr>
        <w:rPr>
          <w:color w:val="000000" w:themeColor="text1"/>
          <w:lang w:val="en-US"/>
        </w:rPr>
      </w:pPr>
      <w:r w:rsidRPr="00B337CA">
        <w:rPr>
          <w:color w:val="000000" w:themeColor="text1"/>
          <w:lang w:val="en-US"/>
        </w:rPr>
        <w:t xml:space="preserve"> - Dopamine &lt;br&gt; </w:t>
      </w:r>
    </w:p>
    <w:p w14:paraId="23E98C3D" w14:textId="77777777" w:rsidR="00B337CA" w:rsidRPr="00B337CA" w:rsidRDefault="00B337CA" w:rsidP="00B337CA">
      <w:pPr>
        <w:rPr>
          <w:color w:val="000000" w:themeColor="text1"/>
          <w:lang w:val="en-US"/>
        </w:rPr>
      </w:pPr>
      <w:r w:rsidRPr="00B337CA">
        <w:rPr>
          <w:color w:val="000000" w:themeColor="text1"/>
          <w:lang w:val="en-US"/>
        </w:rPr>
        <w:t xml:space="preserve"> - Serotonin &lt;br&gt; &lt;br&gt; </w:t>
      </w:r>
    </w:p>
    <w:p w14:paraId="60441D8F" w14:textId="77777777" w:rsidR="000F4950" w:rsidRDefault="00B337CA">
      <w:pPr>
        <w:rPr>
          <w:color w:val="000000" w:themeColor="text1"/>
          <w:lang w:val="en-US"/>
        </w:rPr>
      </w:pPr>
      <w:r w:rsidRPr="00B337CA">
        <w:rPr>
          <w:color w:val="000000" w:themeColor="text1"/>
          <w:lang w:val="en-US"/>
        </w:rPr>
        <w:t>* Recent work suggests implications beyond synaptic biology [1,2]</w:t>
      </w:r>
      <w:r w:rsidR="002256AE" w:rsidRPr="002256AE">
        <w:rPr>
          <w:color w:val="000000" w:themeColor="text1"/>
          <w:lang w:val="en-US"/>
        </w:rPr>
        <w:t xml:space="preserve">     </w:t>
      </w:r>
    </w:p>
    <w:p w14:paraId="102C1A20" w14:textId="77777777" w:rsidR="000F4950" w:rsidRDefault="000F4950">
      <w:pPr>
        <w:rPr>
          <w:color w:val="000000" w:themeColor="text1"/>
          <w:lang w:val="en-US"/>
        </w:rPr>
      </w:pPr>
    </w:p>
    <w:p w14:paraId="1002ED69" w14:textId="302ED848" w:rsidR="00A311F3" w:rsidRDefault="002256AE">
      <w:pPr>
        <w:rPr>
          <w:color w:val="000000" w:themeColor="text1"/>
          <w:lang w:val="en-US"/>
        </w:rPr>
      </w:pPr>
      <w:r w:rsidRPr="002256AE">
        <w:rPr>
          <w:color w:val="000000" w:themeColor="text1"/>
          <w:lang w:val="en-US"/>
        </w:rPr>
        <w:t>- Efficient for hallucinations but less so for cognitiv</w:t>
      </w:r>
      <w:r w:rsidR="000F4950">
        <w:rPr>
          <w:color w:val="000000" w:themeColor="text1"/>
          <w:lang w:val="en-US"/>
        </w:rPr>
        <w:t>e</w:t>
      </w:r>
    </w:p>
    <w:p w14:paraId="4E0C9F7D" w14:textId="77777777" w:rsidR="000F4950" w:rsidRPr="000F4950" w:rsidRDefault="000F4950">
      <w:pPr>
        <w:rPr>
          <w:color w:val="000000" w:themeColor="text1"/>
          <w:lang w:val="en-US"/>
        </w:rPr>
      </w:pPr>
    </w:p>
    <w:p w14:paraId="3C2F38D4" w14:textId="328273D3" w:rsidR="00814219" w:rsidRDefault="00A311F3" w:rsidP="00814219">
      <w:pPr>
        <w:rPr>
          <w:color w:val="000000" w:themeColor="text1"/>
          <w:lang w:val="en-US"/>
        </w:rPr>
      </w:pPr>
      <w:r w:rsidRPr="000042BC">
        <w:rPr>
          <w:color w:val="FF0000"/>
          <w:lang w:val="en-US"/>
        </w:rPr>
        <w:t xml:space="preserve">Slide </w:t>
      </w:r>
      <w:r w:rsidR="000F4950">
        <w:rPr>
          <w:color w:val="FF0000"/>
          <w:lang w:val="en-US"/>
        </w:rPr>
        <w:t>6</w:t>
      </w:r>
      <w:r w:rsidR="00814219">
        <w:rPr>
          <w:color w:val="FF0000"/>
          <w:lang w:val="en-US"/>
        </w:rPr>
        <w:t xml:space="preserve"> </w:t>
      </w:r>
      <w:r w:rsidR="00814219" w:rsidRPr="00E56FD5">
        <w:rPr>
          <w:color w:val="000000" w:themeColor="text1"/>
          <w:lang w:val="en-US"/>
        </w:rPr>
        <w:t>##EWAS fin</w:t>
      </w:r>
      <w:r w:rsidR="00814219">
        <w:rPr>
          <w:color w:val="000000" w:themeColor="text1"/>
          <w:lang w:val="en-US"/>
        </w:rPr>
        <w:t>dings for antipsychotics</w:t>
      </w:r>
    </w:p>
    <w:p w14:paraId="62633E62" w14:textId="722B4C74" w:rsidR="00814219" w:rsidRPr="00814219" w:rsidRDefault="00814219" w:rsidP="0081421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Drug response-related DNAm remains poorly understood</w:t>
      </w:r>
    </w:p>
    <w:p w14:paraId="0CD417FB" w14:textId="51A22A83" w:rsidR="00814219" w:rsidRDefault="00814219" w:rsidP="0081421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Variety of methods, tissues assayed, study designs, sample sizes</w:t>
      </w:r>
    </w:p>
    <w:p w14:paraId="5545BAA8" w14:textId="6E31C984" w:rsidR="000F4950" w:rsidRDefault="000F4950" w:rsidP="0081421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Lack of consistency in reporting medication in Candidate gene &amp; Genome-wide studies</w:t>
      </w:r>
    </w:p>
    <w:p w14:paraId="5DEBD99B" w14:textId="7189F520" w:rsidR="001A4291" w:rsidRPr="00814219" w:rsidRDefault="001A4291" w:rsidP="0081421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A4291">
        <w:rPr>
          <w:color w:val="000000" w:themeColor="text1"/>
          <w:lang w:val="en-US"/>
        </w:rPr>
        <w:t>Integration of genomic data and genome-wide DNAm data may be more effective</w:t>
      </w:r>
      <w:r>
        <w:rPr>
          <w:color w:val="000000" w:themeColor="text1"/>
          <w:lang w:val="en-US"/>
        </w:rPr>
        <w:t xml:space="preserve"> – towards discovery of underlying drug response</w:t>
      </w:r>
    </w:p>
    <w:p w14:paraId="1B93C700" w14:textId="77777777" w:rsidR="002256AE" w:rsidRPr="003F5BFD" w:rsidRDefault="002256AE">
      <w:pPr>
        <w:rPr>
          <w:color w:val="FF0000"/>
        </w:rPr>
      </w:pPr>
    </w:p>
    <w:p w14:paraId="33549608" w14:textId="139874EF" w:rsidR="000F4950" w:rsidRPr="00585E8D" w:rsidRDefault="00A311F3" w:rsidP="000F4950">
      <w:pPr>
        <w:rPr>
          <w:color w:val="000000" w:themeColor="text1"/>
          <w:lang w:val="en-US"/>
        </w:rPr>
      </w:pPr>
      <w:r w:rsidRPr="000042BC">
        <w:rPr>
          <w:color w:val="FF0000"/>
          <w:lang w:val="en-US"/>
        </w:rPr>
        <w:t xml:space="preserve">Slide </w:t>
      </w:r>
      <w:r w:rsidR="003C14E2">
        <w:rPr>
          <w:color w:val="FF0000"/>
          <w:lang w:val="en-US"/>
        </w:rPr>
        <w:t>7</w:t>
      </w:r>
      <w:r w:rsidR="000F4950">
        <w:rPr>
          <w:color w:val="FF0000"/>
          <w:lang w:val="en-US"/>
        </w:rPr>
        <w:t xml:space="preserve"> </w:t>
      </w:r>
      <w:r w:rsidR="000F4950">
        <w:rPr>
          <w:color w:val="000000" w:themeColor="text1"/>
          <w:lang w:val="en-US"/>
        </w:rPr>
        <w:t>##GWAS findings</w:t>
      </w:r>
    </w:p>
    <w:p w14:paraId="416E44B7" w14:textId="4F0C825A" w:rsidR="00A311F3" w:rsidRPr="000042BC" w:rsidRDefault="00A311F3">
      <w:pPr>
        <w:rPr>
          <w:color w:val="FF0000"/>
          <w:lang w:val="en-US"/>
        </w:rPr>
      </w:pPr>
    </w:p>
    <w:p w14:paraId="26D8B4AB" w14:textId="6297CBD3" w:rsidR="001E0069" w:rsidRPr="000042BC" w:rsidRDefault="001E0069">
      <w:pPr>
        <w:rPr>
          <w:color w:val="FF0000"/>
          <w:lang w:val="en-US"/>
        </w:rPr>
      </w:pPr>
    </w:p>
    <w:p w14:paraId="03E2A167" w14:textId="1507C113" w:rsidR="00FB62CD" w:rsidRPr="00FB62CD" w:rsidRDefault="001E0069" w:rsidP="00FB62CD">
      <w:pPr>
        <w:rPr>
          <w:rFonts w:ascii="Times New Roman" w:eastAsia="Times New Roman" w:hAnsi="Times New Roman" w:cs="Times New Roman"/>
          <w:lang w:eastAsia="en-GB"/>
        </w:rPr>
      </w:pPr>
      <w:r w:rsidRPr="000042BC">
        <w:rPr>
          <w:color w:val="000000" w:themeColor="text1"/>
          <w:lang w:val="en-US"/>
        </w:rPr>
        <w:t xml:space="preserve">## </w:t>
      </w:r>
      <w:r w:rsidR="00FB62CD">
        <w:rPr>
          <w:rFonts w:eastAsia="Times New Roman" w:cstheme="minorHAnsi"/>
          <w:color w:val="000000"/>
          <w:lang w:val="en-US" w:eastAsia="en-GB"/>
        </w:rPr>
        <w:t>H</w:t>
      </w:r>
      <w:r w:rsidR="00FB62CD" w:rsidRPr="00FB62CD">
        <w:rPr>
          <w:rFonts w:eastAsia="Times New Roman" w:cstheme="minorHAnsi"/>
          <w:color w:val="000000"/>
          <w:lang w:eastAsia="en-GB"/>
        </w:rPr>
        <w:t>ypothesize </w:t>
      </w:r>
    </w:p>
    <w:p w14:paraId="74735755" w14:textId="2856ABF5" w:rsidR="001E0069" w:rsidRPr="000042BC" w:rsidRDefault="001E0069">
      <w:pPr>
        <w:rPr>
          <w:color w:val="000000" w:themeColor="text1"/>
          <w:lang w:val="en-US"/>
        </w:rPr>
      </w:pPr>
      <w:r w:rsidRPr="000042BC">
        <w:rPr>
          <w:color w:val="000000" w:themeColor="text1"/>
          <w:lang w:val="en-US"/>
        </w:rPr>
        <w:lastRenderedPageBreak/>
        <w:t xml:space="preserve"> </w:t>
      </w:r>
    </w:p>
    <w:p w14:paraId="2FEB6E45" w14:textId="677A8CF8" w:rsidR="001E0069" w:rsidRPr="000042BC" w:rsidRDefault="00FB62CD">
      <w:pPr>
        <w:rPr>
          <w:color w:val="000000" w:themeColor="text1"/>
          <w:lang w:val="en-US"/>
        </w:rPr>
      </w:pPr>
      <w:r w:rsidRPr="000042BC">
        <w:rPr>
          <w:color w:val="000000" w:themeColor="text1"/>
          <w:lang w:val="en-US"/>
        </w:rPr>
        <w:t xml:space="preserve">Common and specific </w:t>
      </w:r>
    </w:p>
    <w:p w14:paraId="300D55C8" w14:textId="77777777" w:rsidR="00FB62CD" w:rsidRPr="00FB62CD" w:rsidRDefault="00FB62CD" w:rsidP="00FB62CD">
      <w:pPr>
        <w:rPr>
          <w:color w:val="000000" w:themeColor="text1"/>
          <w:lang w:val="en-US"/>
        </w:rPr>
      </w:pPr>
      <w:r w:rsidRPr="00FB62CD">
        <w:rPr>
          <w:color w:val="000000" w:themeColor="text1"/>
          <w:lang w:val="en-US"/>
        </w:rPr>
        <w:t xml:space="preserve">We hypothesize that differential DNA methylation associated with </w:t>
      </w:r>
    </w:p>
    <w:p w14:paraId="1FDBFF27" w14:textId="74F7C79A" w:rsidR="00FB62CD" w:rsidRDefault="00FB62CD" w:rsidP="00FB62CD">
      <w:pPr>
        <w:rPr>
          <w:color w:val="000000" w:themeColor="text1"/>
          <w:lang w:val="en-US"/>
        </w:rPr>
      </w:pPr>
      <w:r w:rsidRPr="00FB62CD">
        <w:rPr>
          <w:color w:val="000000" w:themeColor="text1"/>
          <w:lang w:val="en-US"/>
        </w:rPr>
        <w:t>AP drugs identified in the peripheral blood of individuals taking these drugs, independent of diagnosis</w:t>
      </w:r>
    </w:p>
    <w:p w14:paraId="60B151A9" w14:textId="0D969DD5" w:rsidR="00B337CA" w:rsidRDefault="00B337CA" w:rsidP="00FB62CD">
      <w:pPr>
        <w:rPr>
          <w:color w:val="000000" w:themeColor="text1"/>
          <w:lang w:val="en-US"/>
        </w:rPr>
      </w:pPr>
    </w:p>
    <w:p w14:paraId="1CE9CCBD" w14:textId="77777777" w:rsidR="00B337CA" w:rsidRDefault="00B337CA" w:rsidP="00B337C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focus of SCZ research has been on the dysfunction thought to underlie changes in network activity across the brain – in particular, the balance between excitatory and inhibitory signaling.  Glutamate (excitatory). GABA (inhibitory)</w:t>
      </w:r>
    </w:p>
    <w:p w14:paraId="50602881" w14:textId="77777777" w:rsidR="00B337CA" w:rsidRDefault="00B337CA" w:rsidP="00B337CA">
      <w:pPr>
        <w:rPr>
          <w:color w:val="000000" w:themeColor="text1"/>
          <w:lang w:val="en-US"/>
        </w:rPr>
      </w:pPr>
    </w:p>
    <w:p w14:paraId="13FEBF66" w14:textId="77777777" w:rsidR="00B337CA" w:rsidRPr="003F5BFD" w:rsidRDefault="00B337CA" w:rsidP="00B337CA">
      <w:pPr>
        <w:rPr>
          <w:rFonts w:ascii="Times New Roman" w:eastAsia="Times New Roman" w:hAnsi="Times New Roman" w:cs="Times New Roman"/>
          <w:lang w:eastAsia="en-GB"/>
        </w:rPr>
      </w:pPr>
      <w:r w:rsidRPr="003F5BFD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  <w:lang w:eastAsia="en-GB"/>
        </w:rPr>
        <w:t>Neuropsychiatric drugs are grouped into various classes with slightly different mechanisms of action.</w:t>
      </w:r>
    </w:p>
    <w:p w14:paraId="6631BB42" w14:textId="77777777" w:rsidR="00B337CA" w:rsidRPr="00B337CA" w:rsidRDefault="00B337CA" w:rsidP="00FB62CD">
      <w:pPr>
        <w:rPr>
          <w:color w:val="000000" w:themeColor="text1"/>
        </w:rPr>
      </w:pPr>
    </w:p>
    <w:p w14:paraId="669A31D7" w14:textId="4476E071" w:rsidR="00A311F3" w:rsidRPr="00FB62CD" w:rsidRDefault="00A311F3">
      <w:pPr>
        <w:rPr>
          <w:color w:val="FF0000"/>
          <w:lang w:val="en-US"/>
        </w:rPr>
      </w:pPr>
    </w:p>
    <w:p w14:paraId="1F8D3900" w14:textId="299ADA5A" w:rsidR="00A311F3" w:rsidRPr="000042BC" w:rsidRDefault="00A311F3">
      <w:pPr>
        <w:rPr>
          <w:color w:val="FF0000"/>
          <w:lang w:val="en-US"/>
        </w:rPr>
      </w:pPr>
      <w:r w:rsidRPr="000042BC">
        <w:rPr>
          <w:color w:val="FF0000"/>
          <w:lang w:val="en-US"/>
        </w:rPr>
        <w:t>Slide 7</w:t>
      </w:r>
    </w:p>
    <w:p w14:paraId="34B76638" w14:textId="7446C3FD" w:rsidR="00A311F3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 Factors that influence the efficacy of AP</w:t>
      </w:r>
    </w:p>
    <w:p w14:paraId="59D9B187" w14:textId="5BCD4FAC" w:rsidR="0073754A" w:rsidRDefault="0073754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Age: </w:t>
      </w:r>
      <w:r w:rsidR="00F969FD">
        <w:rPr>
          <w:color w:val="000000" w:themeColor="text1"/>
          <w:lang w:val="en-US"/>
        </w:rPr>
        <w:t>Significant impact on drug concentration</w:t>
      </w:r>
      <w:r>
        <w:rPr>
          <w:color w:val="000000" w:themeColor="text1"/>
          <w:lang w:val="en-US"/>
        </w:rPr>
        <w:t xml:space="preserve">most studies show increased concentration above age 60, but some, like Olanzapine and Quetiapine show changes every 5 to 10 years. </w:t>
      </w:r>
    </w:p>
    <w:p w14:paraId="47C4A563" w14:textId="25DF5F78" w:rsidR="0073754A" w:rsidRPr="00BF431B" w:rsidRDefault="00F969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Sex: </w:t>
      </w:r>
      <w:r w:rsidR="0073754A">
        <w:rPr>
          <w:color w:val="000000" w:themeColor="text1"/>
          <w:lang w:val="en-US"/>
        </w:rPr>
        <w:t>Women generally have do</w:t>
      </w:r>
      <w:r>
        <w:rPr>
          <w:color w:val="000000" w:themeColor="text1"/>
          <w:lang w:val="en-US"/>
        </w:rPr>
        <w:t>se</w:t>
      </w:r>
      <w:r w:rsidR="0073754A">
        <w:rPr>
          <w:color w:val="000000" w:themeColor="text1"/>
          <w:lang w:val="en-US"/>
        </w:rPr>
        <w:t>-adjust</w:t>
      </w:r>
      <w:r>
        <w:rPr>
          <w:color w:val="000000" w:themeColor="text1"/>
          <w:lang w:val="en-US"/>
        </w:rPr>
        <w:t>ed</w:t>
      </w:r>
      <w:r w:rsidR="0073754A">
        <w:rPr>
          <w:color w:val="000000" w:themeColor="text1"/>
          <w:lang w:val="en-US"/>
        </w:rPr>
        <w:t xml:space="preserve"> concentrations 20-30% higher than men (Castberg et all, 2017</w:t>
      </w:r>
      <w:r>
        <w:rPr>
          <w:color w:val="000000" w:themeColor="text1"/>
          <w:lang w:val="en-US"/>
        </w:rPr>
        <w:t>)</w:t>
      </w:r>
    </w:p>
    <w:p w14:paraId="4D30B9D8" w14:textId="27AC04B1" w:rsidR="00131FDA" w:rsidRDefault="00131FDA">
      <w:pPr>
        <w:rPr>
          <w:color w:val="FF0000"/>
          <w:lang w:val="en-US"/>
        </w:rPr>
      </w:pPr>
    </w:p>
    <w:p w14:paraId="0D3CC708" w14:textId="6FAC3161" w:rsidR="00BF431B" w:rsidRDefault="00BF431B">
      <w:pPr>
        <w:rPr>
          <w:color w:val="FF0000"/>
          <w:lang w:val="en-US"/>
        </w:rPr>
      </w:pPr>
    </w:p>
    <w:p w14:paraId="1A19FE43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>- Age, gender, smoking &lt;br&gt; &lt;br /&gt;</w:t>
      </w:r>
    </w:p>
    <w:p w14:paraId="723C035D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Genotype - i.e. metabolic enzymes &lt;br&gt; &lt;br /&gt;</w:t>
      </w:r>
    </w:p>
    <w:p w14:paraId="0359FB61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Polypharmacy &lt;br&gt; &lt;br /&gt;</w:t>
      </w:r>
    </w:p>
    <w:p w14:paraId="2E0D5DA1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Time of day of administration &lt;br&gt; &lt;br /&gt;</w:t>
      </w:r>
    </w:p>
    <w:p w14:paraId="3BEF4E46" w14:textId="51CDB577" w:rsidR="00BF431B" w:rsidRPr="00131FDA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Dose &amp; Compliance - as monitored by serum values</w:t>
      </w:r>
    </w:p>
    <w:p w14:paraId="4C69F8D6" w14:textId="74C77996" w:rsidR="00131FDA" w:rsidRDefault="00131FDA">
      <w:pPr>
        <w:rPr>
          <w:color w:val="FF0000"/>
          <w:lang w:val="en-US"/>
        </w:rPr>
      </w:pPr>
    </w:p>
    <w:p w14:paraId="7F09CDAC" w14:textId="77777777" w:rsidR="00814219" w:rsidRPr="003F5BFD" w:rsidRDefault="00814219" w:rsidP="00814219">
      <w:pPr>
        <w:rPr>
          <w:rFonts w:ascii="Times New Roman" w:eastAsia="Times New Roman" w:hAnsi="Times New Roman" w:cs="Times New Roman"/>
          <w:lang w:eastAsia="en-GB"/>
        </w:rPr>
      </w:pPr>
      <w:r w:rsidRPr="003F5BFD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  <w:lang w:eastAsia="en-GB"/>
        </w:rPr>
        <w:t>Regulation of drug responses occurs at various levels including genetics, epigenetics, transcriptional, and protein modification, and also involves many functional pathways (</w:t>
      </w:r>
      <w:hyperlink r:id="rId5" w:anchor="B6" w:history="1">
        <w:r w:rsidRPr="003F5BFD">
          <w:rPr>
            <w:rFonts w:ascii="Georgia" w:eastAsia="Times New Roman" w:hAnsi="Georgia" w:cs="Times New Roman"/>
            <w:color w:val="D54449"/>
            <w:sz w:val="27"/>
            <w:szCs w:val="27"/>
            <w:u w:val="single"/>
            <w:lang w:eastAsia="en-GB"/>
          </w:rPr>
          <w:t>Amare et al., 2017</w:t>
        </w:r>
      </w:hyperlink>
      <w:r w:rsidRPr="003F5BFD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  <w:lang w:eastAsia="en-GB"/>
        </w:rPr>
        <w:t>)</w:t>
      </w:r>
    </w:p>
    <w:p w14:paraId="239070F8" w14:textId="774AAF22" w:rsidR="00814219" w:rsidRPr="00814219" w:rsidRDefault="00814219">
      <w:pPr>
        <w:rPr>
          <w:color w:val="FF0000"/>
        </w:rPr>
      </w:pPr>
    </w:p>
    <w:p w14:paraId="072DB1C7" w14:textId="77777777" w:rsidR="00814219" w:rsidRPr="00131FDA" w:rsidRDefault="00814219">
      <w:pPr>
        <w:rPr>
          <w:color w:val="FF0000"/>
          <w:lang w:val="en-US"/>
        </w:rPr>
      </w:pPr>
    </w:p>
    <w:p w14:paraId="7D215AAF" w14:textId="4CB5DB8C" w:rsidR="00A311F3" w:rsidRPr="000042BC" w:rsidRDefault="00A311F3">
      <w:pPr>
        <w:rPr>
          <w:color w:val="FF0000"/>
          <w:lang w:val="en-US"/>
        </w:rPr>
      </w:pPr>
      <w:r w:rsidRPr="000042BC">
        <w:rPr>
          <w:color w:val="FF0000"/>
          <w:lang w:val="en-US"/>
        </w:rPr>
        <w:t>Slide 8</w:t>
      </w:r>
    </w:p>
    <w:p w14:paraId="77B46AF7" w14:textId="5F786F27" w:rsidR="00131FDA" w:rsidRPr="000042BC" w:rsidRDefault="00131FDA">
      <w:pPr>
        <w:rPr>
          <w:color w:val="FF0000"/>
          <w:lang w:val="en-US"/>
        </w:rPr>
      </w:pPr>
    </w:p>
    <w:p w14:paraId="2A4D1AE3" w14:textId="51495FEC" w:rsidR="00131FDA" w:rsidRPr="000042BC" w:rsidRDefault="00131FDA">
      <w:pPr>
        <w:rPr>
          <w:color w:val="000000" w:themeColor="text1"/>
          <w:lang w:val="en-US"/>
        </w:rPr>
      </w:pPr>
      <w:r w:rsidRPr="000042BC">
        <w:rPr>
          <w:color w:val="000000" w:themeColor="text1"/>
          <w:lang w:val="en-US"/>
        </w:rPr>
        <w:t>## TOP Cohort</w:t>
      </w:r>
    </w:p>
    <w:p w14:paraId="6F6682BD" w14:textId="4AB291A8" w:rsidR="00A311F3" w:rsidRPr="000042BC" w:rsidRDefault="00A311F3">
      <w:pPr>
        <w:rPr>
          <w:color w:val="FF0000"/>
          <w:lang w:val="en-US"/>
        </w:rPr>
      </w:pPr>
    </w:p>
    <w:p w14:paraId="3F8AC3C1" w14:textId="1B1B47D6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9</w:t>
      </w:r>
    </w:p>
    <w:p w14:paraId="009F9CCF" w14:textId="06F1BB07" w:rsidR="00A311F3" w:rsidRDefault="00A311F3">
      <w:pPr>
        <w:rPr>
          <w:color w:val="FF0000"/>
          <w:lang w:val="en-US"/>
        </w:rPr>
      </w:pPr>
    </w:p>
    <w:p w14:paraId="02A0AA4D" w14:textId="704A9D73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 Study/model design</w:t>
      </w:r>
    </w:p>
    <w:p w14:paraId="119B99B1" w14:textId="1963E8EE" w:rsidR="00131FDA" w:rsidRDefault="00131FDA">
      <w:pPr>
        <w:rPr>
          <w:color w:val="FF0000"/>
          <w:lang w:val="en-US"/>
        </w:rPr>
      </w:pPr>
    </w:p>
    <w:p w14:paraId="28EBACD5" w14:textId="77777777" w:rsidR="00131FDA" w:rsidRDefault="00131FDA">
      <w:pPr>
        <w:rPr>
          <w:color w:val="FF0000"/>
          <w:lang w:val="en-US"/>
        </w:rPr>
      </w:pPr>
    </w:p>
    <w:p w14:paraId="30939E7A" w14:textId="1EEB4F2F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10</w:t>
      </w:r>
    </w:p>
    <w:p w14:paraId="4449925E" w14:textId="79874979" w:rsidR="00A311F3" w:rsidRDefault="00A311F3">
      <w:pPr>
        <w:rPr>
          <w:color w:val="FF0000"/>
          <w:lang w:val="en-US"/>
        </w:rPr>
      </w:pPr>
    </w:p>
    <w:p w14:paraId="561A9B2B" w14:textId="5A7E3760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### Models selected for Quetiapine n=92</w:t>
      </w:r>
    </w:p>
    <w:p w14:paraId="36C2C26E" w14:textId="68A9D0D9" w:rsidR="00131FDA" w:rsidRDefault="00131FDA">
      <w:pPr>
        <w:rPr>
          <w:color w:val="FF0000"/>
          <w:lang w:val="en-US"/>
        </w:rPr>
      </w:pPr>
    </w:p>
    <w:p w14:paraId="55BDFB55" w14:textId="77777777" w:rsidR="00131FDA" w:rsidRDefault="00131FDA">
      <w:pPr>
        <w:rPr>
          <w:color w:val="FF0000"/>
          <w:lang w:val="en-US"/>
        </w:rPr>
      </w:pPr>
    </w:p>
    <w:p w14:paraId="51FFF9B1" w14:textId="4626252C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Slide 11</w:t>
      </w:r>
    </w:p>
    <w:p w14:paraId="466F3935" w14:textId="33F2918D" w:rsidR="00131FDA" w:rsidRDefault="00131FDA">
      <w:pPr>
        <w:rPr>
          <w:color w:val="FF0000"/>
          <w:lang w:val="en-US"/>
        </w:rPr>
      </w:pPr>
    </w:p>
    <w:p w14:paraId="7BC6AC41" w14:textId="72424F02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### Results for CpGs at Genome-wide significance</w:t>
      </w:r>
    </w:p>
    <w:p w14:paraId="67B9ABFB" w14:textId="2715D486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12</w:t>
      </w:r>
    </w:p>
    <w:p w14:paraId="0B86D5C0" w14:textId="74DDE434" w:rsidR="00A311F3" w:rsidRDefault="00A311F3">
      <w:pPr>
        <w:rPr>
          <w:color w:val="FF0000"/>
          <w:lang w:val="en-US"/>
        </w:rPr>
      </w:pPr>
    </w:p>
    <w:p w14:paraId="7F88A5FC" w14:textId="0D182A18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 Manhatten plots comparing the two models</w:t>
      </w:r>
    </w:p>
    <w:p w14:paraId="21C71C9B" w14:textId="77777777" w:rsidR="00131FDA" w:rsidRDefault="00131FDA">
      <w:pPr>
        <w:rPr>
          <w:color w:val="FF0000"/>
          <w:lang w:val="en-US"/>
        </w:rPr>
      </w:pPr>
    </w:p>
    <w:p w14:paraId="24715249" w14:textId="21BFFB8F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13</w:t>
      </w:r>
    </w:p>
    <w:p w14:paraId="5D225512" w14:textId="6EA1337B" w:rsidR="00A311F3" w:rsidRDefault="00A311F3">
      <w:pPr>
        <w:rPr>
          <w:color w:val="FF0000"/>
          <w:lang w:val="en-US"/>
        </w:rPr>
      </w:pPr>
    </w:p>
    <w:p w14:paraId="3940F955" w14:textId="1B095286" w:rsid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 xml:space="preserve">### Glycosylation </w:t>
      </w:r>
    </w:p>
    <w:p w14:paraId="4FAF9BAC" w14:textId="1EF3E9C8" w:rsidR="002F7CB3" w:rsidRDefault="002F7CB3">
      <w:pPr>
        <w:rPr>
          <w:color w:val="000000" w:themeColor="text1"/>
          <w:lang w:val="en-US"/>
        </w:rPr>
      </w:pPr>
    </w:p>
    <w:p w14:paraId="0E5C5E66" w14:textId="5CE03EB8" w:rsidR="002F7CB3" w:rsidRDefault="002F7CB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Regulates nearly all cellular processes</w:t>
      </w:r>
    </w:p>
    <w:p w14:paraId="21D2F5C2" w14:textId="352ACFF2" w:rsidR="003B245D" w:rsidRDefault="003B245D">
      <w:pPr>
        <w:rPr>
          <w:color w:val="000000" w:themeColor="text1"/>
          <w:lang w:val="en-US"/>
        </w:rPr>
      </w:pPr>
    </w:p>
    <w:p w14:paraId="0E5A8956" w14:textId="70A632DD" w:rsidR="003B245D" w:rsidRPr="00131FDA" w:rsidRDefault="003B245D" w:rsidP="003B245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Glycans are necessary for proper protein folding, protein trafficking, cell-cell recognition, cell migration, etc.  Gysosulation enzymes often function in a single pathway with only one or occasional a few enzymes capable of completing each step.</w:t>
      </w:r>
    </w:p>
    <w:p w14:paraId="425356B3" w14:textId="77777777" w:rsidR="003B245D" w:rsidRDefault="003B245D" w:rsidP="003B245D">
      <w:pPr>
        <w:rPr>
          <w:color w:val="FF0000"/>
          <w:lang w:val="en-US"/>
        </w:rPr>
      </w:pPr>
    </w:p>
    <w:p w14:paraId="467840CB" w14:textId="77777777" w:rsidR="003B245D" w:rsidRPr="00131FDA" w:rsidRDefault="003B245D">
      <w:pPr>
        <w:rPr>
          <w:color w:val="000000" w:themeColor="text1"/>
          <w:lang w:val="en-US"/>
        </w:rPr>
      </w:pPr>
    </w:p>
    <w:p w14:paraId="736519F1" w14:textId="77777777" w:rsidR="00131FDA" w:rsidRDefault="00131FDA">
      <w:pPr>
        <w:rPr>
          <w:color w:val="FF0000"/>
          <w:lang w:val="en-US"/>
        </w:rPr>
      </w:pPr>
    </w:p>
    <w:p w14:paraId="24400CCA" w14:textId="667D3442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14</w:t>
      </w:r>
    </w:p>
    <w:p w14:paraId="6C4AA350" w14:textId="08A13441" w:rsidR="00A311F3" w:rsidRDefault="00A311F3">
      <w:pPr>
        <w:rPr>
          <w:color w:val="FF0000"/>
          <w:lang w:val="en-US"/>
        </w:rPr>
      </w:pPr>
    </w:p>
    <w:p w14:paraId="2B5E6546" w14:textId="4A1DBC58" w:rsid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 xml:space="preserve">### </w:t>
      </w:r>
      <w:r w:rsidR="002F7CB3">
        <w:rPr>
          <w:color w:val="000000" w:themeColor="text1"/>
          <w:lang w:val="en-US"/>
        </w:rPr>
        <w:t>Disregulated glycosylation in SCZ</w:t>
      </w:r>
    </w:p>
    <w:p w14:paraId="71CF4B8A" w14:textId="3891E997" w:rsidR="00352C7C" w:rsidRDefault="00352C7C">
      <w:pPr>
        <w:rPr>
          <w:color w:val="000000" w:themeColor="text1"/>
          <w:lang w:val="en-US"/>
        </w:rPr>
      </w:pPr>
    </w:p>
    <w:p w14:paraId="50BB1474" w14:textId="46C73B97" w:rsidR="00352C7C" w:rsidRDefault="00966F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Presynaptic neuron in green, postsynapitic neuron in blue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34AAA7F9" w14:textId="11FADB85" w:rsidR="009C1045" w:rsidRDefault="009C1045">
      <w:pPr>
        <w:rPr>
          <w:color w:val="000000" w:themeColor="text1"/>
          <w:lang w:val="en-US"/>
        </w:rPr>
      </w:pPr>
    </w:p>
    <w:p w14:paraId="5FC42B8C" w14:textId="4A827FC1" w:rsidR="009C1045" w:rsidRDefault="009C104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addition to genes involved in synaptic transmission and the immune system, several glycosulation enzymes are directly implicated in the pathogenesis of the disorder (Mealer, 2020)</w:t>
      </w:r>
    </w:p>
    <w:p w14:paraId="0B6BECDA" w14:textId="6D25659D" w:rsidR="007849DC" w:rsidRDefault="007849D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Glycosulation may contribute to abnormal neuronal signaling and connectivity observed in SCZ.  However, such changes may also results from exposures associated with the disease ((Williams, 2020)</w:t>
      </w:r>
    </w:p>
    <w:p w14:paraId="4EB829DA" w14:textId="0A2A66BE" w:rsidR="007849DC" w:rsidRDefault="007849DC">
      <w:pPr>
        <w:rPr>
          <w:color w:val="000000" w:themeColor="text1"/>
          <w:lang w:val="en-US"/>
        </w:rPr>
      </w:pPr>
    </w:p>
    <w:p w14:paraId="63542CEF" w14:textId="2E614994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15</w:t>
      </w:r>
    </w:p>
    <w:p w14:paraId="65506DF5" w14:textId="6445EC9D" w:rsidR="00131FDA" w:rsidRDefault="00131FDA">
      <w:pPr>
        <w:rPr>
          <w:color w:val="FF0000"/>
          <w:lang w:val="en-US"/>
        </w:rPr>
      </w:pPr>
    </w:p>
    <w:p w14:paraId="69933E4A" w14:textId="18C92D6A" w:rsidR="00966FDA" w:rsidRDefault="002A712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Glycosylation changes observed in SCZ span several brain regions, cellular pathways, classes of proteins, and steps of the synthetic pathway.  This suggests a general dysregulation of glycosylation as a feature of the disease state and does not implicated a specific synthetic step or cell type as being uniquely vulnerable. </w:t>
      </w:r>
    </w:p>
    <w:p w14:paraId="607413FC" w14:textId="77777777" w:rsidR="00966FDA" w:rsidRDefault="00966FDA">
      <w:pPr>
        <w:rPr>
          <w:color w:val="FF0000"/>
          <w:lang w:val="en-US"/>
        </w:rPr>
      </w:pPr>
    </w:p>
    <w:p w14:paraId="1A07344B" w14:textId="3306DB68" w:rsidR="00131FDA" w:rsidRDefault="00131F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Articles in psychiatry. Williams and Mealer</w:t>
      </w:r>
    </w:p>
    <w:p w14:paraId="0999A0D3" w14:textId="65BB7114" w:rsidR="00131FDA" w:rsidRDefault="00131FDA">
      <w:pPr>
        <w:rPr>
          <w:color w:val="000000" w:themeColor="text1"/>
          <w:lang w:val="en-US"/>
        </w:rPr>
      </w:pPr>
    </w:p>
    <w:p w14:paraId="62EDEF78" w14:textId="43DE7B4E" w:rsidR="00131FDA" w:rsidRDefault="00131FDA">
      <w:pPr>
        <w:rPr>
          <w:color w:val="000000" w:themeColor="text1"/>
          <w:lang w:val="en-US"/>
        </w:rPr>
      </w:pPr>
    </w:p>
    <w:p w14:paraId="689DD202" w14:textId="6CB6A601" w:rsidR="00131FDA" w:rsidRDefault="00131FDA" w:rsidP="00131FDA">
      <w:pPr>
        <w:rPr>
          <w:color w:val="FF0000"/>
          <w:lang w:val="en-US"/>
        </w:rPr>
      </w:pPr>
      <w:r>
        <w:rPr>
          <w:color w:val="FF0000"/>
          <w:lang w:val="en-US"/>
        </w:rPr>
        <w:t>Slide 16</w:t>
      </w:r>
    </w:p>
    <w:p w14:paraId="360B6189" w14:textId="6DA99145" w:rsidR="00FC34CA" w:rsidRDefault="00FC34CA" w:rsidP="00131FDA">
      <w:pPr>
        <w:rPr>
          <w:color w:val="FF0000"/>
          <w:lang w:val="en-US"/>
        </w:rPr>
      </w:pPr>
    </w:p>
    <w:p w14:paraId="1D36EF5E" w14:textId="3DEB708E" w:rsidR="00FC34CA" w:rsidRPr="00FC34CA" w:rsidRDefault="00FC34CA" w:rsidP="00131FD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>### GLT8D1 &lt;br&gt; -  transcripts associated with SCZ and BPD</w:t>
      </w:r>
    </w:p>
    <w:p w14:paraId="492D4430" w14:textId="0C49D061" w:rsidR="00131FDA" w:rsidRDefault="00131FDA">
      <w:pPr>
        <w:rPr>
          <w:color w:val="000000" w:themeColor="text1"/>
          <w:lang w:val="en-US"/>
        </w:rPr>
      </w:pPr>
    </w:p>
    <w:p w14:paraId="0FCA9AEA" w14:textId="7539437B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Slide 17</w:t>
      </w:r>
    </w:p>
    <w:p w14:paraId="06CBD615" w14:textId="54E0A9FC" w:rsidR="00FC34CA" w:rsidRDefault="00FC34CA">
      <w:pPr>
        <w:rPr>
          <w:color w:val="000000" w:themeColor="text1"/>
          <w:lang w:val="en-US"/>
        </w:rPr>
      </w:pPr>
    </w:p>
    <w:p w14:paraId="49E617E4" w14:textId="1B2F5C86" w:rsidR="00FC34CA" w:rsidRDefault="00FC34CA">
      <w:pPr>
        <w:rPr>
          <w:color w:val="000000" w:themeColor="text1"/>
          <w:lang w:val="en-US"/>
        </w:rPr>
      </w:pPr>
    </w:p>
    <w:p w14:paraId="02FD3A3B" w14:textId="4364F603" w:rsidR="00FC34CA" w:rsidRDefault="00FC34C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>Differentially Methylated Regions (DMRs) &lt;br/&gt;</w:t>
      </w:r>
    </w:p>
    <w:p w14:paraId="133EA5B0" w14:textId="6567072F" w:rsidR="00FC34CA" w:rsidRDefault="00FC34CA">
      <w:pPr>
        <w:rPr>
          <w:color w:val="000000" w:themeColor="text1"/>
          <w:lang w:val="en-US"/>
        </w:rPr>
      </w:pPr>
    </w:p>
    <w:p w14:paraId="4F3C940E" w14:textId="03B4AFE5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t>Slide 18</w:t>
      </w:r>
    </w:p>
    <w:p w14:paraId="3C8B8365" w14:textId="77777777" w:rsidR="00FC34CA" w:rsidRDefault="00FC34CA">
      <w:pPr>
        <w:rPr>
          <w:color w:val="000000" w:themeColor="text1"/>
          <w:lang w:val="en-US"/>
        </w:rPr>
      </w:pPr>
    </w:p>
    <w:p w14:paraId="69CB3048" w14:textId="33082382" w:rsidR="00FC34CA" w:rsidRDefault="00FC34CA">
      <w:pPr>
        <w:rPr>
          <w:color w:val="000000" w:themeColor="text1"/>
          <w:lang w:val="en-US"/>
        </w:rPr>
      </w:pPr>
    </w:p>
    <w:p w14:paraId="5A46F489" w14:textId="45CC8EAD" w:rsidR="00FC34CA" w:rsidRDefault="00FC34C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>### Future prospects</w:t>
      </w:r>
    </w:p>
    <w:p w14:paraId="538A5C50" w14:textId="7E043E41" w:rsidR="00FC34CA" w:rsidRDefault="00FC34CA">
      <w:pPr>
        <w:rPr>
          <w:color w:val="000000" w:themeColor="text1"/>
          <w:lang w:val="en-US"/>
        </w:rPr>
      </w:pPr>
    </w:p>
    <w:p w14:paraId="4C70958A" w14:textId="7795B73A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t>Slide 19</w:t>
      </w:r>
    </w:p>
    <w:p w14:paraId="45A3121F" w14:textId="2EFBA687" w:rsidR="00FC34CA" w:rsidRPr="00FC34CA" w:rsidRDefault="00FC34CA" w:rsidP="00FC34C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##Acknowledgements</w:t>
      </w:r>
    </w:p>
    <w:p w14:paraId="03D5319D" w14:textId="77777777" w:rsidR="00FC34CA" w:rsidRPr="00131FDA" w:rsidRDefault="00FC34CA">
      <w:pPr>
        <w:rPr>
          <w:color w:val="000000" w:themeColor="text1"/>
          <w:lang w:val="en-US"/>
        </w:rPr>
      </w:pPr>
    </w:p>
    <w:sectPr w:rsidR="00FC34CA" w:rsidRPr="0013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3E4"/>
    <w:multiLevelType w:val="hybridMultilevel"/>
    <w:tmpl w:val="0CA6AE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D4C7A"/>
    <w:multiLevelType w:val="hybridMultilevel"/>
    <w:tmpl w:val="A1F261FC"/>
    <w:lvl w:ilvl="0" w:tplc="1152D074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5E21510B"/>
    <w:multiLevelType w:val="hybridMultilevel"/>
    <w:tmpl w:val="444ECB12"/>
    <w:lvl w:ilvl="0" w:tplc="CD9C4E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1D370B"/>
    <w:multiLevelType w:val="hybridMultilevel"/>
    <w:tmpl w:val="F6CEE9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F3"/>
    <w:rsid w:val="000042BC"/>
    <w:rsid w:val="000D7103"/>
    <w:rsid w:val="000F4950"/>
    <w:rsid w:val="00131FDA"/>
    <w:rsid w:val="001A4291"/>
    <w:rsid w:val="001E0069"/>
    <w:rsid w:val="002256AE"/>
    <w:rsid w:val="002A294C"/>
    <w:rsid w:val="002A712C"/>
    <w:rsid w:val="002F7CB3"/>
    <w:rsid w:val="00352C7C"/>
    <w:rsid w:val="0037262E"/>
    <w:rsid w:val="003B245D"/>
    <w:rsid w:val="003C14E2"/>
    <w:rsid w:val="003F5BFD"/>
    <w:rsid w:val="00422A86"/>
    <w:rsid w:val="004329BB"/>
    <w:rsid w:val="00513590"/>
    <w:rsid w:val="00585E8D"/>
    <w:rsid w:val="00713F63"/>
    <w:rsid w:val="0072359A"/>
    <w:rsid w:val="0073754A"/>
    <w:rsid w:val="007849DC"/>
    <w:rsid w:val="007946D1"/>
    <w:rsid w:val="007C5043"/>
    <w:rsid w:val="007D5F17"/>
    <w:rsid w:val="00814219"/>
    <w:rsid w:val="00957CC8"/>
    <w:rsid w:val="00966FDA"/>
    <w:rsid w:val="009C1045"/>
    <w:rsid w:val="00A311F3"/>
    <w:rsid w:val="00AA59F8"/>
    <w:rsid w:val="00B337CA"/>
    <w:rsid w:val="00BF11A7"/>
    <w:rsid w:val="00BF431B"/>
    <w:rsid w:val="00E56FD5"/>
    <w:rsid w:val="00EC35E3"/>
    <w:rsid w:val="00EF72B0"/>
    <w:rsid w:val="00F63F78"/>
    <w:rsid w:val="00F95A35"/>
    <w:rsid w:val="00F969FD"/>
    <w:rsid w:val="00FB62CD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305E10"/>
  <w15:chartTrackingRefBased/>
  <w15:docId w15:val="{F81B85B9-ABBC-7341-8F3A-6332EF73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62CD"/>
  </w:style>
  <w:style w:type="paragraph" w:customStyle="1" w:styleId="mb15">
    <w:name w:val="mb15"/>
    <w:basedOn w:val="Normal"/>
    <w:rsid w:val="003F5B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F5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ontiersin.org/articles/10.3389/fnins.2021.674273/f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11</cp:revision>
  <dcterms:created xsi:type="dcterms:W3CDTF">2022-03-27T07:56:00Z</dcterms:created>
  <dcterms:modified xsi:type="dcterms:W3CDTF">2022-03-27T11:57:00Z</dcterms:modified>
</cp:coreProperties>
</file>