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venir" w:cs="Avenir" w:eastAsia="Avenir" w:hAnsi="Avenir"/>
          <w:b w:val="1"/>
          <w:sz w:val="30"/>
          <w:szCs w:val="30"/>
        </w:rPr>
      </w:pPr>
      <w:r w:rsidDel="00000000" w:rsidR="00000000" w:rsidRPr="00000000">
        <w:rPr>
          <w:rFonts w:ascii="Avenir" w:cs="Avenir" w:eastAsia="Avenir" w:hAnsi="Avenir"/>
          <w:b w:val="1"/>
          <w:sz w:val="30"/>
          <w:szCs w:val="30"/>
          <w:rtl w:val="0"/>
        </w:rPr>
        <w:t xml:space="preserve">School Closures’ Potential Effects on COVID-19 Deaths</w:t>
      </w:r>
    </w:p>
    <w:p w:rsidR="00000000" w:rsidDel="00000000" w:rsidP="00000000" w:rsidRDefault="00000000" w:rsidRPr="00000000" w14:paraId="00000002">
      <w:pPr>
        <w:rPr>
          <w:rFonts w:ascii="Avenir" w:cs="Avenir" w:eastAsia="Avenir" w:hAnsi="Avenir"/>
          <w:b w:val="1"/>
          <w:sz w:val="16"/>
          <w:szCs w:val="16"/>
        </w:rPr>
      </w:pPr>
      <w:r w:rsidDel="00000000" w:rsidR="00000000" w:rsidRPr="00000000">
        <w:rPr>
          <w:rtl w:val="0"/>
        </w:rPr>
      </w:r>
    </w:p>
    <w:p w:rsidR="00000000" w:rsidDel="00000000" w:rsidP="00000000" w:rsidRDefault="00000000" w:rsidRPr="00000000" w14:paraId="00000003">
      <w:pPr>
        <w:rPr>
          <w:rFonts w:ascii="Avenir" w:cs="Avenir" w:eastAsia="Avenir" w:hAnsi="Avenir"/>
          <w:b w:val="1"/>
        </w:rPr>
      </w:pPr>
      <w:r w:rsidDel="00000000" w:rsidR="00000000" w:rsidRPr="00000000">
        <w:rPr>
          <w:rFonts w:ascii="Avenir" w:cs="Avenir" w:eastAsia="Avenir" w:hAnsi="Avenir"/>
          <w:b w:val="1"/>
          <w:rtl w:val="0"/>
        </w:rPr>
        <w:t xml:space="preserve">Original paper:</w:t>
      </w:r>
    </w:p>
    <w:p w:rsidR="00000000" w:rsidDel="00000000" w:rsidP="00000000" w:rsidRDefault="00000000" w:rsidRPr="00000000" w14:paraId="00000004">
      <w:pPr>
        <w:rPr>
          <w:rFonts w:ascii="Avenir" w:cs="Avenir" w:eastAsia="Avenir" w:hAnsi="Avenir"/>
        </w:rPr>
      </w:pPr>
      <w:hyperlink r:id="rId6">
        <w:r w:rsidDel="00000000" w:rsidR="00000000" w:rsidRPr="00000000">
          <w:rPr>
            <w:rFonts w:ascii="Avenir" w:cs="Avenir" w:eastAsia="Avenir" w:hAnsi="Avenir"/>
            <w:b w:val="1"/>
            <w:color w:val="1155cc"/>
            <w:u w:val="single"/>
            <w:rtl w:val="0"/>
          </w:rPr>
          <w:t xml:space="preserve">https://www.bsg.ox.ac.uk/sites/default/files/2020-04/BSG-WP-2020-031-v4.0_0.pdf</w:t>
        </w:r>
      </w:hyperlink>
      <w:r w:rsidDel="00000000" w:rsidR="00000000" w:rsidRPr="00000000">
        <w:rPr>
          <w:rtl w:val="0"/>
        </w:rPr>
      </w:r>
    </w:p>
    <w:p w:rsidR="00000000" w:rsidDel="00000000" w:rsidP="00000000" w:rsidRDefault="00000000" w:rsidRPr="00000000" w14:paraId="00000005">
      <w:pPr>
        <w:rPr>
          <w:rFonts w:ascii="Avenir" w:cs="Avenir" w:eastAsia="Avenir" w:hAnsi="Avenir"/>
          <w:b w:val="1"/>
        </w:rPr>
      </w:pPr>
      <w:r w:rsidDel="00000000" w:rsidR="00000000" w:rsidRPr="00000000">
        <w:rPr>
          <w:rFonts w:ascii="Avenir" w:cs="Avenir" w:eastAsia="Avenir" w:hAnsi="Avenir"/>
          <w:b w:val="1"/>
          <w:rtl w:val="0"/>
        </w:rPr>
        <w:t xml:space="preserve">Data:</w:t>
      </w:r>
    </w:p>
    <w:p w:rsidR="00000000" w:rsidDel="00000000" w:rsidP="00000000" w:rsidRDefault="00000000" w:rsidRPr="00000000" w14:paraId="00000006">
      <w:pPr>
        <w:rPr>
          <w:rFonts w:ascii="Avenir" w:cs="Avenir" w:eastAsia="Avenir" w:hAnsi="Avenir"/>
          <w:b w:val="1"/>
        </w:rPr>
      </w:pPr>
      <w:hyperlink r:id="rId7">
        <w:r w:rsidDel="00000000" w:rsidR="00000000" w:rsidRPr="00000000">
          <w:rPr>
            <w:rFonts w:ascii="Avenir" w:cs="Avenir" w:eastAsia="Avenir" w:hAnsi="Avenir"/>
            <w:b w:val="1"/>
            <w:color w:val="1155cc"/>
            <w:u w:val="single"/>
            <w:rtl w:val="0"/>
          </w:rPr>
          <w:t xml:space="preserve">https://covidtracker.bsg.ox.ac.uk/</w:t>
        </w:r>
      </w:hyperlink>
      <w:r w:rsidDel="00000000" w:rsidR="00000000" w:rsidRPr="00000000">
        <w:rPr>
          <w:rtl w:val="0"/>
        </w:rPr>
      </w:r>
    </w:p>
    <w:p w:rsidR="00000000" w:rsidDel="00000000" w:rsidP="00000000" w:rsidRDefault="00000000" w:rsidRPr="00000000" w14:paraId="00000007">
      <w:pPr>
        <w:rPr>
          <w:rFonts w:ascii="Avenir" w:cs="Avenir" w:eastAsia="Avenir" w:hAnsi="Avenir"/>
          <w:b w:val="1"/>
        </w:rPr>
      </w:pPr>
      <w:r w:rsidDel="00000000" w:rsidR="00000000" w:rsidRPr="00000000">
        <w:rPr>
          <w:rFonts w:ascii="Avenir" w:cs="Avenir" w:eastAsia="Avenir" w:hAnsi="Avenir"/>
          <w:b w:val="1"/>
          <w:rtl w:val="0"/>
        </w:rPr>
        <w:t xml:space="preserve">Full code:</w:t>
      </w:r>
    </w:p>
    <w:p w:rsidR="00000000" w:rsidDel="00000000" w:rsidP="00000000" w:rsidRDefault="00000000" w:rsidRPr="00000000" w14:paraId="00000008">
      <w:pPr>
        <w:rPr>
          <w:rFonts w:ascii="Avenir" w:cs="Avenir" w:eastAsia="Avenir" w:hAnsi="Avenir"/>
          <w:b w:val="1"/>
        </w:rPr>
      </w:pPr>
      <w:hyperlink r:id="rId8">
        <w:r w:rsidDel="00000000" w:rsidR="00000000" w:rsidRPr="00000000">
          <w:rPr>
            <w:rFonts w:ascii="Avenir" w:cs="Avenir" w:eastAsia="Avenir" w:hAnsi="Avenir"/>
            <w:b w:val="1"/>
            <w:color w:val="1155cc"/>
            <w:u w:val="single"/>
            <w:rtl w:val="0"/>
          </w:rPr>
          <w:t xml:space="preserve">https://colab.research.google.com/drive/1z_9obvCFl2gAxk3ckVRC-ncMwexVz0Hl</w:t>
        </w:r>
      </w:hyperlink>
      <w:r w:rsidDel="00000000" w:rsidR="00000000" w:rsidRPr="00000000">
        <w:rPr>
          <w:rFonts w:ascii="Avenir" w:cs="Avenir" w:eastAsia="Avenir" w:hAnsi="Avenir"/>
          <w:b w:val="1"/>
          <w:rtl w:val="0"/>
        </w:rPr>
        <w:t xml:space="preserve"> </w:t>
      </w:r>
    </w:p>
    <w:p w:rsidR="00000000" w:rsidDel="00000000" w:rsidP="00000000" w:rsidRDefault="00000000" w:rsidRPr="00000000" w14:paraId="00000009">
      <w:pPr>
        <w:rPr>
          <w:rFonts w:ascii="Avenir" w:cs="Avenir" w:eastAsia="Avenir" w:hAnsi="Avenir"/>
        </w:rPr>
      </w:pPr>
      <w:r w:rsidDel="00000000" w:rsidR="00000000" w:rsidRPr="00000000">
        <w:rPr>
          <w:rtl w:val="0"/>
        </w:rPr>
      </w:r>
    </w:p>
    <w:p w:rsidR="00000000" w:rsidDel="00000000" w:rsidP="00000000" w:rsidRDefault="00000000" w:rsidRPr="00000000" w14:paraId="0000000A">
      <w:pPr>
        <w:rPr>
          <w:rFonts w:ascii="Avenir" w:cs="Avenir" w:eastAsia="Avenir" w:hAnsi="Avenir"/>
          <w:b w:val="1"/>
          <w:sz w:val="26"/>
          <w:szCs w:val="26"/>
        </w:rPr>
      </w:pPr>
      <w:r w:rsidDel="00000000" w:rsidR="00000000" w:rsidRPr="00000000">
        <w:rPr>
          <w:rFonts w:ascii="Avenir" w:cs="Avenir" w:eastAsia="Avenir" w:hAnsi="Avenir"/>
          <w:b w:val="1"/>
          <w:sz w:val="26"/>
          <w:szCs w:val="26"/>
          <w:rtl w:val="0"/>
        </w:rPr>
        <w:t xml:space="preserve">Introduction</w:t>
      </w:r>
    </w:p>
    <w:p w:rsidR="00000000" w:rsidDel="00000000" w:rsidP="00000000" w:rsidRDefault="00000000" w:rsidRPr="00000000" w14:paraId="0000000B">
      <w:pPr>
        <w:rPr>
          <w:rFonts w:ascii="Avenir" w:cs="Avenir" w:eastAsia="Avenir" w:hAnsi="Avenir"/>
        </w:rPr>
      </w:pPr>
      <w:r w:rsidDel="00000000" w:rsidR="00000000" w:rsidRPr="00000000">
        <w:rPr>
          <w:rFonts w:ascii="Avenir" w:cs="Avenir" w:eastAsia="Avenir" w:hAnsi="Avenir"/>
          <w:rtl w:val="0"/>
        </w:rPr>
        <w:t xml:space="preserve">Researchers Hale, Petherick, Phillips, and Webster at the Blavatnik School of Government, University of Oxford, have gathered daily data on 147 countries’ government responses to the COVID-19 pandemic since January 1, 2020.  They measure “common policy responses” in 13 areas, including limits on various types of public gatherings, fiscal measures, and coronavirus testing; they also note whether certain measures are targeted or general.</w:t>
      </w:r>
    </w:p>
    <w:p w:rsidR="00000000" w:rsidDel="00000000" w:rsidP="00000000" w:rsidRDefault="00000000" w:rsidRPr="00000000" w14:paraId="0000000C">
      <w:pPr>
        <w:rPr>
          <w:rFonts w:ascii="Avenir" w:cs="Avenir" w:eastAsia="Avenir" w:hAnsi="Avenir"/>
        </w:rPr>
      </w:pPr>
      <w:r w:rsidDel="00000000" w:rsidR="00000000" w:rsidRPr="00000000">
        <w:rPr>
          <w:rtl w:val="0"/>
        </w:rPr>
      </w:r>
    </w:p>
    <w:p w:rsidR="00000000" w:rsidDel="00000000" w:rsidP="00000000" w:rsidRDefault="00000000" w:rsidRPr="00000000" w14:paraId="0000000D">
      <w:pPr>
        <w:rPr>
          <w:rFonts w:ascii="Avenir" w:cs="Avenir" w:eastAsia="Avenir" w:hAnsi="Avenir"/>
        </w:rPr>
      </w:pPr>
      <w:r w:rsidDel="00000000" w:rsidR="00000000" w:rsidRPr="00000000">
        <w:rPr>
          <w:rFonts w:ascii="Avenir" w:cs="Avenir" w:eastAsia="Avenir" w:hAnsi="Avenir"/>
          <w:rtl w:val="0"/>
        </w:rPr>
        <w:t xml:space="preserve">The researchers then issue an overall stringency index for each country’s response, provided enough data has been collected.  Their publication has focused on tracking and plotting this overall stringency index related to the number of confirmed coronavirus cases and deaths in certain countries (</w:t>
      </w:r>
      <w:hyperlink r:id="rId9">
        <w:r w:rsidDel="00000000" w:rsidR="00000000" w:rsidRPr="00000000">
          <w:rPr>
            <w:rFonts w:ascii="Avenir" w:cs="Avenir" w:eastAsia="Avenir" w:hAnsi="Avenir"/>
            <w:color w:val="1155cc"/>
            <w:u w:val="single"/>
            <w:rtl w:val="0"/>
          </w:rPr>
          <w:t xml:space="preserve">https://covidtracker.bsg.ox.ac.uk/stringency-scatter</w:t>
        </w:r>
      </w:hyperlink>
      <w:r w:rsidDel="00000000" w:rsidR="00000000" w:rsidRPr="00000000">
        <w:rPr>
          <w:rFonts w:ascii="Avenir" w:cs="Avenir" w:eastAsia="Avenir" w:hAnsi="Avenir"/>
          <w:rtl w:val="0"/>
        </w:rPr>
        <w:t xml:space="preserve">).</w:t>
      </w:r>
      <w:r w:rsidDel="00000000" w:rsidR="00000000" w:rsidRPr="00000000">
        <w:rPr>
          <w:rtl w:val="0"/>
        </w:rPr>
      </w:r>
    </w:p>
    <w:p w:rsidR="00000000" w:rsidDel="00000000" w:rsidP="00000000" w:rsidRDefault="00000000" w:rsidRPr="00000000" w14:paraId="0000000E">
      <w:pPr>
        <w:rPr>
          <w:rFonts w:ascii="Avenir" w:cs="Avenir" w:eastAsia="Avenir" w:hAnsi="Avenir"/>
        </w:rPr>
      </w:pPr>
      <w:r w:rsidDel="00000000" w:rsidR="00000000" w:rsidRPr="00000000">
        <w:rPr>
          <w:rtl w:val="0"/>
        </w:rPr>
      </w:r>
    </w:p>
    <w:p w:rsidR="00000000" w:rsidDel="00000000" w:rsidP="00000000" w:rsidRDefault="00000000" w:rsidRPr="00000000" w14:paraId="0000000F">
      <w:pPr>
        <w:rPr>
          <w:rFonts w:ascii="Avenir" w:cs="Avenir" w:eastAsia="Avenir" w:hAnsi="Avenir"/>
        </w:rPr>
      </w:pPr>
      <w:r w:rsidDel="00000000" w:rsidR="00000000" w:rsidRPr="00000000">
        <w:rPr>
          <w:rtl w:val="0"/>
        </w:rPr>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2745"/>
        <w:gridCol w:w="2715"/>
        <w:tblGridChange w:id="0">
          <w:tblGrid>
            <w:gridCol w:w="3570"/>
            <w:gridCol w:w="2745"/>
            <w:gridCol w:w="27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Avenir" w:cs="Avenir" w:eastAsia="Avenir" w:hAnsi="Avenir"/>
              </w:rPr>
            </w:pPr>
            <w:r w:rsidDel="00000000" w:rsidR="00000000" w:rsidRPr="00000000">
              <w:rPr>
                <w:rFonts w:ascii="Avenir" w:cs="Avenir" w:eastAsia="Avenir" w:hAnsi="Avenir"/>
                <w:rtl w:val="0"/>
              </w:rPr>
              <w:t xml:space="preserve">S1 School Closing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0 - No measures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1 - Recommend closing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2 - Require closing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0 - Targeted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1- General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rFonts w:ascii="Avenir" w:cs="Avenir" w:eastAsia="Avenir" w:hAnsi="Avenir"/>
              </w:rPr>
            </w:pPr>
            <w:r w:rsidDel="00000000" w:rsidR="00000000" w:rsidRPr="00000000">
              <w:rPr>
                <w:rFonts w:ascii="Avenir" w:cs="Avenir" w:eastAsia="Avenir" w:hAnsi="Avenir"/>
                <w:rtl w:val="0"/>
              </w:rPr>
              <w:t xml:space="preserve">S2 Workplace closing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0 - No measures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1 - recommend closing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2 - require closing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0 - Targeted </w:t>
            </w:r>
          </w:p>
          <w:p w:rsidR="00000000" w:rsidDel="00000000" w:rsidP="00000000" w:rsidRDefault="00000000" w:rsidRPr="00000000" w14:paraId="0000001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1- General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rFonts w:ascii="Avenir" w:cs="Avenir" w:eastAsia="Avenir" w:hAnsi="Avenir"/>
              </w:rPr>
            </w:pPr>
            <w:r w:rsidDel="00000000" w:rsidR="00000000" w:rsidRPr="00000000">
              <w:rPr>
                <w:rFonts w:ascii="Avenir" w:cs="Avenir" w:eastAsia="Avenir" w:hAnsi="Avenir"/>
                <w:rtl w:val="0"/>
              </w:rPr>
              <w:t xml:space="preserve">S3 Cancel public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0 - No measures </w:t>
            </w:r>
          </w:p>
          <w:p w:rsidR="00000000" w:rsidDel="00000000" w:rsidP="00000000" w:rsidRDefault="00000000" w:rsidRPr="00000000" w14:paraId="0000001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1 - recommend closing </w:t>
            </w:r>
          </w:p>
          <w:p w:rsidR="00000000" w:rsidDel="00000000" w:rsidP="00000000" w:rsidRDefault="00000000" w:rsidRPr="00000000" w14:paraId="0000001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2 - require closing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0 - Targeted </w:t>
            </w:r>
          </w:p>
          <w:p w:rsidR="00000000" w:rsidDel="00000000" w:rsidP="00000000" w:rsidRDefault="00000000" w:rsidRPr="00000000" w14:paraId="0000002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1- General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rFonts w:ascii="Avenir" w:cs="Avenir" w:eastAsia="Avenir" w:hAnsi="Avenir"/>
              </w:rPr>
            </w:pPr>
            <w:r w:rsidDel="00000000" w:rsidR="00000000" w:rsidRPr="00000000">
              <w:rPr>
                <w:rFonts w:ascii="Avenir" w:cs="Avenir" w:eastAsia="Avenir" w:hAnsi="Avenir"/>
                <w:rtl w:val="0"/>
              </w:rPr>
              <w:t xml:space="preserve">S4 Close public transport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0 - No measures </w:t>
            </w:r>
          </w:p>
          <w:p w:rsidR="00000000" w:rsidDel="00000000" w:rsidP="00000000" w:rsidRDefault="00000000" w:rsidRPr="00000000" w14:paraId="0000002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1 - recommend closing </w:t>
            </w:r>
          </w:p>
          <w:p w:rsidR="00000000" w:rsidDel="00000000" w:rsidP="00000000" w:rsidRDefault="00000000" w:rsidRPr="00000000" w14:paraId="0000002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2 - require closing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0 - Targeted </w:t>
            </w:r>
          </w:p>
          <w:p w:rsidR="00000000" w:rsidDel="00000000" w:rsidP="00000000" w:rsidRDefault="00000000" w:rsidRPr="00000000" w14:paraId="0000002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1- General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rFonts w:ascii="Avenir" w:cs="Avenir" w:eastAsia="Avenir" w:hAnsi="Avenir"/>
              </w:rPr>
            </w:pPr>
            <w:r w:rsidDel="00000000" w:rsidR="00000000" w:rsidRPr="00000000">
              <w:rPr>
                <w:rFonts w:ascii="Avenir" w:cs="Avenir" w:eastAsia="Avenir" w:hAnsi="Avenir"/>
                <w:rtl w:val="0"/>
              </w:rPr>
              <w:t xml:space="preserve">S5 Public info campaigns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0 -No COVID-19 public information campaign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1 - COVID-19 public information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0 - Targeted </w:t>
            </w:r>
          </w:p>
          <w:p w:rsidR="00000000" w:rsidDel="00000000" w:rsidP="00000000" w:rsidRDefault="00000000" w:rsidRPr="00000000" w14:paraId="0000002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1- General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rFonts w:ascii="Avenir" w:cs="Avenir" w:eastAsia="Avenir" w:hAnsi="Avenir"/>
              </w:rPr>
            </w:pPr>
            <w:r w:rsidDel="00000000" w:rsidR="00000000" w:rsidRPr="00000000">
              <w:rPr>
                <w:rFonts w:ascii="Avenir" w:cs="Avenir" w:eastAsia="Avenir" w:hAnsi="Avenir"/>
                <w:rtl w:val="0"/>
              </w:rPr>
              <w:t xml:space="preserve">S6 Restrictions on internal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0 - No measures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1 - recommend movement restriction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2 - restrict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0 - Targeted </w:t>
            </w:r>
          </w:p>
          <w:p w:rsidR="00000000" w:rsidDel="00000000" w:rsidP="00000000" w:rsidRDefault="00000000" w:rsidRPr="00000000" w14:paraId="0000003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1- General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rFonts w:ascii="Avenir" w:cs="Avenir" w:eastAsia="Avenir" w:hAnsi="Avenir"/>
              </w:rPr>
            </w:pPr>
            <w:r w:rsidDel="00000000" w:rsidR="00000000" w:rsidRPr="00000000">
              <w:rPr>
                <w:rFonts w:ascii="Avenir" w:cs="Avenir" w:eastAsia="Avenir" w:hAnsi="Avenir"/>
                <w:rtl w:val="0"/>
              </w:rPr>
              <w:t xml:space="preserve">S7 International travel controls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0 - No measures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1 - Screening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2 - Quarantine on high-risk regions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3 - Ban on high-risk regions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rFonts w:ascii="Avenir" w:cs="Avenir" w:eastAsia="Avenir" w:hAnsi="Avenir"/>
              </w:rPr>
            </w:pPr>
            <w:r w:rsidDel="00000000" w:rsidR="00000000" w:rsidRPr="00000000">
              <w:rPr>
                <w:rFonts w:ascii="Avenir" w:cs="Avenir" w:eastAsia="Avenir" w:hAnsi="Avenir"/>
                <w:rtl w:val="0"/>
              </w:rPr>
              <w:t xml:space="preserve">S8 Fiscal stimuli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Value of fiscal stimuli, including spending or tax cuts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rFonts w:ascii="Avenir" w:cs="Avenir" w:eastAsia="Avenir" w:hAnsi="Avenir"/>
              </w:rPr>
            </w:pPr>
            <w:r w:rsidDel="00000000" w:rsidR="00000000" w:rsidRPr="00000000">
              <w:rPr>
                <w:rFonts w:ascii="Avenir" w:cs="Avenir" w:eastAsia="Avenir" w:hAnsi="Avenir"/>
                <w:rtl w:val="0"/>
              </w:rPr>
              <w:t xml:space="preserve">S9 Monetary policy interventions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Value of interest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rFonts w:ascii="Avenir" w:cs="Avenir" w:eastAsia="Avenir" w:hAnsi="Avenir"/>
              </w:rPr>
            </w:pPr>
            <w:r w:rsidDel="00000000" w:rsidR="00000000" w:rsidRPr="00000000">
              <w:rPr>
                <w:rFonts w:ascii="Avenir" w:cs="Avenir" w:eastAsia="Avenir" w:hAnsi="Avenir"/>
                <w:rtl w:val="0"/>
              </w:rPr>
              <w:t xml:space="preserve">S10 Emergency investment in healthcare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Value of new short-term spending on 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rFonts w:ascii="Avenir" w:cs="Avenir" w:eastAsia="Avenir" w:hAnsi="Avenir"/>
              </w:rPr>
            </w:pPr>
            <w:r w:rsidDel="00000000" w:rsidR="00000000" w:rsidRPr="00000000">
              <w:rPr>
                <w:rFonts w:ascii="Avenir" w:cs="Avenir" w:eastAsia="Avenir" w:hAnsi="Avenir"/>
                <w:rtl w:val="0"/>
              </w:rPr>
              <w:t xml:space="preserve">S11 Investment in vaccines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Value of investment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rFonts w:ascii="Avenir" w:cs="Avenir" w:eastAsia="Avenir" w:hAnsi="Avenir"/>
              </w:rPr>
            </w:pPr>
            <w:r w:rsidDel="00000000" w:rsidR="00000000" w:rsidRPr="00000000">
              <w:rPr>
                <w:rFonts w:ascii="Avenir" w:cs="Avenir" w:eastAsia="Avenir" w:hAnsi="Avenir"/>
                <w:rtl w:val="0"/>
              </w:rPr>
              <w:t xml:space="preserve">S12 Testing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0 - No testing policy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1 - only testing those who both (a) have symptoms, and (b) meet specific criteria (eg key workers, admitted to hospital, came into contact with a known case, returned from overseas)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2 - testing of anyone showing COVID19 symptoms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3 - open public testing (eg “drive through” testing available to asymptomatic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rFonts w:ascii="Avenir" w:cs="Avenir" w:eastAsia="Avenir" w:hAnsi="Avenir"/>
              </w:rPr>
            </w:pPr>
            <w:r w:rsidDel="00000000" w:rsidR="00000000" w:rsidRPr="00000000">
              <w:rPr>
                <w:rFonts w:ascii="Avenir" w:cs="Avenir" w:eastAsia="Avenir" w:hAnsi="Avenir"/>
                <w:rtl w:val="0"/>
              </w:rPr>
              <w:t xml:space="preserve">S13 Contact tracing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0 - no contact tracing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1 - limited contact tracing – not done for all cases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2 - comprehensive contact tracing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tl w:val="0"/>
              </w:rPr>
            </w:r>
          </w:p>
        </w:tc>
      </w:tr>
    </w:tbl>
    <w:p w:rsidR="00000000" w:rsidDel="00000000" w:rsidP="00000000" w:rsidRDefault="00000000" w:rsidRPr="00000000" w14:paraId="00000050">
      <w:pPr>
        <w:rPr>
          <w:rFonts w:ascii="Avenir" w:cs="Avenir" w:eastAsia="Avenir" w:hAnsi="Avenir"/>
        </w:rPr>
      </w:pPr>
      <w:r w:rsidDel="00000000" w:rsidR="00000000" w:rsidRPr="00000000">
        <w:rPr>
          <w:rtl w:val="0"/>
        </w:rPr>
      </w:r>
    </w:p>
    <w:p w:rsidR="00000000" w:rsidDel="00000000" w:rsidP="00000000" w:rsidRDefault="00000000" w:rsidRPr="00000000" w14:paraId="00000051">
      <w:pPr>
        <w:rPr>
          <w:rFonts w:ascii="Avenir" w:cs="Avenir" w:eastAsia="Avenir" w:hAnsi="Avenir"/>
        </w:rPr>
      </w:pPr>
      <w:r w:rsidDel="00000000" w:rsidR="00000000" w:rsidRPr="00000000">
        <w:rPr>
          <w:rFonts w:ascii="Avenir" w:cs="Avenir" w:eastAsia="Avenir" w:hAnsi="Avenir"/>
          <w:rtl w:val="0"/>
        </w:rPr>
        <w:t xml:space="preserve">The researchers have not, however, published any statistics about the relationships of individual categories of policy responses and the numbers of COVID-19 cases or deaths.</w:t>
      </w:r>
    </w:p>
    <w:p w:rsidR="00000000" w:rsidDel="00000000" w:rsidP="00000000" w:rsidRDefault="00000000" w:rsidRPr="00000000" w14:paraId="00000052">
      <w:pPr>
        <w:rPr>
          <w:rFonts w:ascii="Avenir" w:cs="Avenir" w:eastAsia="Avenir" w:hAnsi="Avenir"/>
          <w:b w:val="1"/>
          <w:sz w:val="26"/>
          <w:szCs w:val="26"/>
        </w:rPr>
      </w:pPr>
      <w:r w:rsidDel="00000000" w:rsidR="00000000" w:rsidRPr="00000000">
        <w:rPr>
          <w:rtl w:val="0"/>
        </w:rPr>
      </w:r>
    </w:p>
    <w:p w:rsidR="00000000" w:rsidDel="00000000" w:rsidP="00000000" w:rsidRDefault="00000000" w:rsidRPr="00000000" w14:paraId="00000053">
      <w:pPr>
        <w:rPr>
          <w:rFonts w:ascii="Avenir" w:cs="Avenir" w:eastAsia="Avenir" w:hAnsi="Avenir"/>
        </w:rPr>
      </w:pPr>
      <w:r w:rsidDel="00000000" w:rsidR="00000000" w:rsidRPr="00000000">
        <w:rPr>
          <w:rFonts w:ascii="Avenir" w:cs="Avenir" w:eastAsia="Avenir" w:hAnsi="Avenir"/>
          <w:rtl w:val="0"/>
        </w:rPr>
        <w:t xml:space="preserve">Because the </w:t>
      </w:r>
      <w:hyperlink r:id="rId10">
        <w:r w:rsidDel="00000000" w:rsidR="00000000" w:rsidRPr="00000000">
          <w:rPr>
            <w:rFonts w:ascii="Avenir" w:cs="Avenir" w:eastAsia="Avenir" w:hAnsi="Avenir"/>
            <w:color w:val="1155cc"/>
            <w:u w:val="single"/>
            <w:rtl w:val="0"/>
          </w:rPr>
          <w:t xml:space="preserve">original Imperial College study</w:t>
        </w:r>
      </w:hyperlink>
      <w:r w:rsidDel="00000000" w:rsidR="00000000" w:rsidRPr="00000000">
        <w:rPr>
          <w:rFonts w:ascii="Avenir" w:cs="Avenir" w:eastAsia="Avenir" w:hAnsi="Avenir"/>
          <w:rtl w:val="0"/>
        </w:rPr>
        <w:t xml:space="preserve"> of social distancing measures indicates on page 10 that the lowest number of critical cases would result from social distancing measures in combination with schools remaining open, not closed, I explored the relationship between the measures taken by governments around school closures (S1) and the number of coronavirus deaths.</w:t>
      </w:r>
    </w:p>
    <w:p w:rsidR="00000000" w:rsidDel="00000000" w:rsidP="00000000" w:rsidRDefault="00000000" w:rsidRPr="00000000" w14:paraId="00000054">
      <w:pPr>
        <w:rPr>
          <w:rFonts w:ascii="Avenir" w:cs="Avenir" w:eastAsia="Avenir" w:hAnsi="Avenir"/>
        </w:rPr>
      </w:pPr>
      <w:r w:rsidDel="00000000" w:rsidR="00000000" w:rsidRPr="00000000">
        <w:rPr>
          <w:rtl w:val="0"/>
        </w:rPr>
      </w:r>
    </w:p>
    <w:p w:rsidR="00000000" w:rsidDel="00000000" w:rsidP="00000000" w:rsidRDefault="00000000" w:rsidRPr="00000000" w14:paraId="00000055">
      <w:pPr>
        <w:rPr>
          <w:rFonts w:ascii="Avenir" w:cs="Avenir" w:eastAsia="Avenir" w:hAnsi="Avenir"/>
        </w:rPr>
      </w:pPr>
      <w:r w:rsidDel="00000000" w:rsidR="00000000" w:rsidRPr="00000000">
        <w:rPr>
          <w:rFonts w:ascii="Avenir" w:cs="Avenir" w:eastAsia="Avenir" w:hAnsi="Avenir"/>
          <w:rtl w:val="0"/>
        </w:rPr>
        <w:t xml:space="preserve">The timing is early in the pandemic, fewer than 200 days, so like the Oxford researchers, I have not been able to draw sweeping conclusions from statistical analysis of the data.  As new data is gathered daily, this same research may yield more conclusive results over time.</w:t>
      </w:r>
    </w:p>
    <w:p w:rsidR="00000000" w:rsidDel="00000000" w:rsidP="00000000" w:rsidRDefault="00000000" w:rsidRPr="00000000" w14:paraId="00000056">
      <w:pPr>
        <w:rPr>
          <w:rFonts w:ascii="Avenir" w:cs="Avenir" w:eastAsia="Avenir" w:hAnsi="Avenir"/>
        </w:rPr>
      </w:pPr>
      <w:r w:rsidDel="00000000" w:rsidR="00000000" w:rsidRPr="00000000">
        <w:rPr>
          <w:rtl w:val="0"/>
        </w:rPr>
      </w:r>
    </w:p>
    <w:p w:rsidR="00000000" w:rsidDel="00000000" w:rsidP="00000000" w:rsidRDefault="00000000" w:rsidRPr="00000000" w14:paraId="00000057">
      <w:pPr>
        <w:rPr>
          <w:rFonts w:ascii="Avenir" w:cs="Avenir" w:eastAsia="Avenir" w:hAnsi="Avenir"/>
          <w:b w:val="1"/>
          <w:sz w:val="26"/>
          <w:szCs w:val="26"/>
        </w:rPr>
      </w:pPr>
      <w:r w:rsidDel="00000000" w:rsidR="00000000" w:rsidRPr="00000000">
        <w:rPr>
          <w:rFonts w:ascii="Avenir" w:cs="Avenir" w:eastAsia="Avenir" w:hAnsi="Avenir"/>
          <w:b w:val="1"/>
          <w:sz w:val="26"/>
          <w:szCs w:val="26"/>
          <w:rtl w:val="0"/>
        </w:rPr>
        <w:t xml:space="preserve">Hypotheses</w:t>
      </w:r>
    </w:p>
    <w:p w:rsidR="00000000" w:rsidDel="00000000" w:rsidP="00000000" w:rsidRDefault="00000000" w:rsidRPr="00000000" w14:paraId="00000058">
      <w:pPr>
        <w:rPr>
          <w:rFonts w:ascii="Avenir" w:cs="Avenir" w:eastAsia="Avenir" w:hAnsi="Avenir"/>
        </w:rPr>
      </w:pPr>
      <w:r w:rsidDel="00000000" w:rsidR="00000000" w:rsidRPr="00000000">
        <w:rPr>
          <w:rFonts w:ascii="Avenir" w:cs="Avenir" w:eastAsia="Avenir" w:hAnsi="Avenir"/>
          <w:rtl w:val="0"/>
        </w:rPr>
        <w:t xml:space="preserve">H</w:t>
      </w:r>
      <w:r w:rsidDel="00000000" w:rsidR="00000000" w:rsidRPr="00000000">
        <w:rPr>
          <w:rFonts w:ascii="Avenir" w:cs="Avenir" w:eastAsia="Avenir" w:hAnsi="Avenir"/>
          <w:vertAlign w:val="subscript"/>
          <w:rtl w:val="0"/>
        </w:rPr>
        <w:t xml:space="preserve">o</w:t>
      </w:r>
      <w:r w:rsidDel="00000000" w:rsidR="00000000" w:rsidRPr="00000000">
        <w:rPr>
          <w:rFonts w:ascii="Avenir" w:cs="Avenir" w:eastAsia="Avenir" w:hAnsi="Avenir"/>
          <w:rtl w:val="0"/>
        </w:rPr>
        <w:t xml:space="preserve">: Nations with strict school closure policies and those with no school closures do not have significantly different coronavirus death rates.</w:t>
      </w:r>
    </w:p>
    <w:p w:rsidR="00000000" w:rsidDel="00000000" w:rsidP="00000000" w:rsidRDefault="00000000" w:rsidRPr="00000000" w14:paraId="00000059">
      <w:pPr>
        <w:rPr>
          <w:rFonts w:ascii="Avenir" w:cs="Avenir" w:eastAsia="Avenir" w:hAnsi="Avenir"/>
        </w:rPr>
      </w:pPr>
      <w:r w:rsidDel="00000000" w:rsidR="00000000" w:rsidRPr="00000000">
        <w:rPr>
          <w:rtl w:val="0"/>
        </w:rPr>
      </w:r>
    </w:p>
    <w:p w:rsidR="00000000" w:rsidDel="00000000" w:rsidP="00000000" w:rsidRDefault="00000000" w:rsidRPr="00000000" w14:paraId="0000005A">
      <w:pPr>
        <w:rPr>
          <w:rFonts w:ascii="Avenir" w:cs="Avenir" w:eastAsia="Avenir" w:hAnsi="Avenir"/>
        </w:rPr>
      </w:pPr>
      <w:r w:rsidDel="00000000" w:rsidR="00000000" w:rsidRPr="00000000">
        <w:rPr>
          <w:rFonts w:ascii="Avenir" w:cs="Avenir" w:eastAsia="Avenir" w:hAnsi="Avenir"/>
          <w:rtl w:val="0"/>
        </w:rPr>
        <w:t xml:space="preserve">H</w:t>
      </w:r>
      <w:r w:rsidDel="00000000" w:rsidR="00000000" w:rsidRPr="00000000">
        <w:rPr>
          <w:rFonts w:ascii="Avenir" w:cs="Avenir" w:eastAsia="Avenir" w:hAnsi="Avenir"/>
          <w:vertAlign w:val="subscript"/>
          <w:rtl w:val="0"/>
        </w:rPr>
        <w:t xml:space="preserve">a</w:t>
      </w:r>
      <w:r w:rsidDel="00000000" w:rsidR="00000000" w:rsidRPr="00000000">
        <w:rPr>
          <w:rFonts w:ascii="Avenir" w:cs="Avenir" w:eastAsia="Avenir" w:hAnsi="Avenir"/>
          <w:rtl w:val="0"/>
        </w:rPr>
        <w:t xml:space="preserve">: Different school closure policies are correlated with different coronavirus death rates.</w:t>
      </w:r>
    </w:p>
    <w:p w:rsidR="00000000" w:rsidDel="00000000" w:rsidP="00000000" w:rsidRDefault="00000000" w:rsidRPr="00000000" w14:paraId="0000005B">
      <w:pPr>
        <w:rPr>
          <w:rFonts w:ascii="Avenir" w:cs="Avenir" w:eastAsia="Avenir" w:hAnsi="Avenir"/>
        </w:rPr>
      </w:pPr>
      <w:r w:rsidDel="00000000" w:rsidR="00000000" w:rsidRPr="00000000">
        <w:rPr>
          <w:rtl w:val="0"/>
        </w:rPr>
      </w:r>
    </w:p>
    <w:p w:rsidR="00000000" w:rsidDel="00000000" w:rsidP="00000000" w:rsidRDefault="00000000" w:rsidRPr="00000000" w14:paraId="0000005C">
      <w:pPr>
        <w:rPr>
          <w:rFonts w:ascii="Avenir" w:cs="Avenir" w:eastAsia="Avenir" w:hAnsi="Avenir"/>
        </w:rPr>
      </w:pPr>
      <w:r w:rsidDel="00000000" w:rsidR="00000000" w:rsidRPr="00000000">
        <w:rPr>
          <w:rtl w:val="0"/>
        </w:rPr>
      </w:r>
    </w:p>
    <w:p w:rsidR="00000000" w:rsidDel="00000000" w:rsidP="00000000" w:rsidRDefault="00000000" w:rsidRPr="00000000" w14:paraId="0000005D">
      <w:pPr>
        <w:rPr>
          <w:rFonts w:ascii="Avenir" w:cs="Avenir" w:eastAsia="Avenir" w:hAnsi="Avenir"/>
          <w:b w:val="1"/>
          <w:sz w:val="26"/>
          <w:szCs w:val="26"/>
        </w:rPr>
      </w:pPr>
      <w:r w:rsidDel="00000000" w:rsidR="00000000" w:rsidRPr="00000000">
        <w:rPr>
          <w:rFonts w:ascii="Avenir" w:cs="Avenir" w:eastAsia="Avenir" w:hAnsi="Avenir"/>
          <w:b w:val="1"/>
          <w:sz w:val="26"/>
          <w:szCs w:val="26"/>
          <w:rtl w:val="0"/>
        </w:rPr>
        <w:t xml:space="preserve">Data and Methods</w:t>
      </w:r>
    </w:p>
    <w:p w:rsidR="00000000" w:rsidDel="00000000" w:rsidP="00000000" w:rsidRDefault="00000000" w:rsidRPr="00000000" w14:paraId="0000005E">
      <w:pPr>
        <w:rPr>
          <w:rFonts w:ascii="Avenir" w:cs="Avenir" w:eastAsia="Avenir" w:hAnsi="Avenir"/>
        </w:rPr>
      </w:pPr>
      <w:r w:rsidDel="00000000" w:rsidR="00000000" w:rsidRPr="00000000">
        <w:rPr>
          <w:rFonts w:ascii="Avenir" w:cs="Avenir" w:eastAsia="Avenir" w:hAnsi="Avenir"/>
          <w:rtl w:val="0"/>
        </w:rPr>
        <w:t xml:space="preserve">To begin, I reformatted and added to the data provided by the researchers so that the school data was summarized in a single column entitled school_stringency, as follows:</w:t>
      </w:r>
    </w:p>
    <w:p w:rsidR="00000000" w:rsidDel="00000000" w:rsidP="00000000" w:rsidRDefault="00000000" w:rsidRPr="00000000" w14:paraId="0000005F">
      <w:pPr>
        <w:rPr>
          <w:rFonts w:ascii="Avenir" w:cs="Avenir" w:eastAsia="Avenir" w:hAnsi="Avenir"/>
        </w:rPr>
      </w:pPr>
      <w:r w:rsidDel="00000000" w:rsidR="00000000" w:rsidRPr="00000000">
        <w:rPr>
          <w:rtl w:val="0"/>
        </w:rPr>
      </w:r>
    </w:p>
    <w:p w:rsidR="00000000" w:rsidDel="00000000" w:rsidP="00000000" w:rsidRDefault="00000000" w:rsidRPr="00000000" w14:paraId="00000060">
      <w:pPr>
        <w:rPr>
          <w:rFonts w:ascii="Avenir" w:cs="Avenir" w:eastAsia="Avenir" w:hAnsi="Avenir"/>
        </w:rPr>
      </w:pPr>
      <w:r w:rsidDel="00000000" w:rsidR="00000000" w:rsidRPr="00000000">
        <w:rPr>
          <w:rtl w:val="0"/>
        </w:rPr>
      </w:r>
    </w:p>
    <w:tbl>
      <w:tblPr>
        <w:tblStyle w:val="Table2"/>
        <w:tblW w:w="4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685"/>
        <w:tblGridChange w:id="0">
          <w:tblGrid>
            <w:gridCol w:w="2250"/>
            <w:gridCol w:w="26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No measures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rPr>
            </w:pPr>
            <w:r w:rsidDel="00000000" w:rsidR="00000000" w:rsidRPr="00000000">
              <w:rPr>
                <w:rFonts w:ascii="Avenir" w:cs="Avenir" w:eastAsia="Avenir" w:hAnsi="Aveni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Recommend closing, targeted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rPr>
            </w:pPr>
            <w:r w:rsidDel="00000000" w:rsidR="00000000" w:rsidRPr="00000000">
              <w:rPr>
                <w:rFonts w:ascii="Avenir" w:cs="Avenir" w:eastAsia="Avenir" w:hAnsi="Aveni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Recommend closing, 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rPr>
            </w:pPr>
            <w:r w:rsidDel="00000000" w:rsidR="00000000" w:rsidRPr="00000000">
              <w:rPr>
                <w:rFonts w:ascii="Avenir" w:cs="Avenir" w:eastAsia="Avenir" w:hAnsi="Aveni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Require closing, targeted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rPr>
            </w:pPr>
            <w:r w:rsidDel="00000000" w:rsidR="00000000" w:rsidRPr="00000000">
              <w:rPr>
                <w:rFonts w:ascii="Avenir" w:cs="Avenir" w:eastAsia="Avenir" w:hAnsi="Aveni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tl w:val="0"/>
              </w:rPr>
              <w:t xml:space="preserve">Require closing, 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rPr>
            </w:pPr>
            <w:r w:rsidDel="00000000" w:rsidR="00000000" w:rsidRPr="00000000">
              <w:rPr>
                <w:rFonts w:ascii="Avenir" w:cs="Avenir" w:eastAsia="Avenir" w:hAnsi="Avenir"/>
                <w:rtl w:val="0"/>
              </w:rPr>
              <w:t xml:space="preserve">4</w:t>
            </w:r>
          </w:p>
        </w:tc>
      </w:tr>
    </w:tbl>
    <w:p w:rsidR="00000000" w:rsidDel="00000000" w:rsidP="00000000" w:rsidRDefault="00000000" w:rsidRPr="00000000" w14:paraId="0000006B">
      <w:pPr>
        <w:rPr>
          <w:rFonts w:ascii="Avenir" w:cs="Avenir" w:eastAsia="Avenir" w:hAnsi="Avenir"/>
        </w:rPr>
      </w:pPr>
      <w:r w:rsidDel="00000000" w:rsidR="00000000" w:rsidRPr="00000000">
        <w:rPr>
          <w:rtl w:val="0"/>
        </w:rPr>
      </w:r>
    </w:p>
    <w:p w:rsidR="00000000" w:rsidDel="00000000" w:rsidP="00000000" w:rsidRDefault="00000000" w:rsidRPr="00000000" w14:paraId="0000006C">
      <w:pPr>
        <w:rPr>
          <w:rFonts w:ascii="Avenir" w:cs="Avenir" w:eastAsia="Avenir" w:hAnsi="Avenir"/>
        </w:rPr>
      </w:pPr>
      <w:r w:rsidDel="00000000" w:rsidR="00000000" w:rsidRPr="00000000">
        <w:rPr>
          <w:rtl w:val="0"/>
        </w:rPr>
      </w:r>
    </w:p>
    <w:p w:rsidR="00000000" w:rsidDel="00000000" w:rsidP="00000000" w:rsidRDefault="00000000" w:rsidRPr="00000000" w14:paraId="0000006D">
      <w:pPr>
        <w:rPr>
          <w:rFonts w:ascii="Avenir" w:cs="Avenir" w:eastAsia="Avenir" w:hAnsi="Avenir"/>
        </w:rPr>
      </w:pPr>
      <w:r w:rsidDel="00000000" w:rsidR="00000000" w:rsidRPr="00000000">
        <w:rPr>
          <w:rFonts w:ascii="Avenir" w:cs="Avenir" w:eastAsia="Avenir" w:hAnsi="Avenir"/>
        </w:rPr>
        <w:drawing>
          <wp:inline distB="114300" distT="114300" distL="114300" distR="114300">
            <wp:extent cx="5943600" cy="20066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Avenir" w:cs="Avenir" w:eastAsia="Avenir" w:hAnsi="Avenir"/>
        </w:rPr>
      </w:pPr>
      <w:r w:rsidDel="00000000" w:rsidR="00000000" w:rsidRPr="00000000">
        <w:rPr>
          <w:rtl w:val="0"/>
        </w:rPr>
      </w:r>
    </w:p>
    <w:p w:rsidR="00000000" w:rsidDel="00000000" w:rsidP="00000000" w:rsidRDefault="00000000" w:rsidRPr="00000000" w14:paraId="0000006F">
      <w:pPr>
        <w:rPr>
          <w:rFonts w:ascii="Avenir" w:cs="Avenir" w:eastAsia="Avenir" w:hAnsi="Avenir"/>
        </w:rPr>
      </w:pPr>
      <w:r w:rsidDel="00000000" w:rsidR="00000000" w:rsidRPr="00000000">
        <w:rPr>
          <w:rFonts w:ascii="Avenir" w:cs="Avenir" w:eastAsia="Avenir" w:hAnsi="Avenir"/>
          <w:rtl w:val="0"/>
        </w:rPr>
        <w:t xml:space="preserve">I added population statistics (total population and density) from the </w:t>
      </w:r>
      <w:hyperlink r:id="rId12">
        <w:r w:rsidDel="00000000" w:rsidR="00000000" w:rsidRPr="00000000">
          <w:rPr>
            <w:rFonts w:ascii="Avenir" w:cs="Avenir" w:eastAsia="Avenir" w:hAnsi="Avenir"/>
            <w:color w:val="1155cc"/>
            <w:u w:val="single"/>
            <w:rtl w:val="0"/>
          </w:rPr>
          <w:t xml:space="preserve">UN’s Department of Economic and Social Affairs</w:t>
        </w:r>
      </w:hyperlink>
      <w:r w:rsidDel="00000000" w:rsidR="00000000" w:rsidRPr="00000000">
        <w:rPr>
          <w:rFonts w:ascii="Avenir" w:cs="Avenir" w:eastAsia="Avenir" w:hAnsi="Avenir"/>
          <w:rtl w:val="0"/>
        </w:rPr>
        <w:t xml:space="preserve">, and I calculated the death rate per 100,000 population for each country.</w:t>
      </w:r>
    </w:p>
    <w:p w:rsidR="00000000" w:rsidDel="00000000" w:rsidP="00000000" w:rsidRDefault="00000000" w:rsidRPr="00000000" w14:paraId="00000070">
      <w:pPr>
        <w:rPr>
          <w:rFonts w:ascii="Avenir" w:cs="Avenir" w:eastAsia="Avenir" w:hAnsi="Avenir"/>
        </w:rPr>
      </w:pPr>
      <w:r w:rsidDel="00000000" w:rsidR="00000000" w:rsidRPr="00000000">
        <w:rPr>
          <w:rtl w:val="0"/>
        </w:rPr>
      </w:r>
    </w:p>
    <w:p w:rsidR="00000000" w:rsidDel="00000000" w:rsidP="00000000" w:rsidRDefault="00000000" w:rsidRPr="00000000" w14:paraId="00000071">
      <w:pPr>
        <w:rPr>
          <w:rFonts w:ascii="Avenir" w:cs="Avenir" w:eastAsia="Avenir" w:hAnsi="Avenir"/>
        </w:rPr>
      </w:pPr>
      <w:r w:rsidDel="00000000" w:rsidR="00000000" w:rsidRPr="00000000">
        <w:rPr>
          <w:rFonts w:ascii="Avenir" w:cs="Avenir" w:eastAsia="Avenir" w:hAnsi="Avenir"/>
          <w:rtl w:val="0"/>
        </w:rPr>
        <w:t xml:space="preserve">I plotted the death rate over time alongside the pattern of school stringency for several nations:</w:t>
      </w:r>
    </w:p>
    <w:p w:rsidR="00000000" w:rsidDel="00000000" w:rsidP="00000000" w:rsidRDefault="00000000" w:rsidRPr="00000000" w14:paraId="00000072">
      <w:pPr>
        <w:rPr>
          <w:rFonts w:ascii="Avenir" w:cs="Avenir" w:eastAsia="Avenir" w:hAnsi="Avenir"/>
        </w:rPr>
      </w:pPr>
      <w:r w:rsidDel="00000000" w:rsidR="00000000" w:rsidRPr="00000000">
        <w:rPr>
          <w:rtl w:val="0"/>
        </w:rPr>
      </w:r>
    </w:p>
    <w:p w:rsidR="00000000" w:rsidDel="00000000" w:rsidP="00000000" w:rsidRDefault="00000000" w:rsidRPr="00000000" w14:paraId="00000073">
      <w:pPr>
        <w:rPr>
          <w:rFonts w:ascii="Avenir" w:cs="Avenir" w:eastAsia="Avenir" w:hAnsi="Avenir"/>
        </w:rPr>
      </w:pPr>
      <w:r w:rsidDel="00000000" w:rsidR="00000000" w:rsidRPr="00000000">
        <w:rPr>
          <w:rtl w:val="0"/>
        </w:rPr>
      </w:r>
    </w:p>
    <w:p w:rsidR="00000000" w:rsidDel="00000000" w:rsidP="00000000" w:rsidRDefault="00000000" w:rsidRPr="00000000" w14:paraId="00000074">
      <w:pPr>
        <w:rPr>
          <w:rFonts w:ascii="Avenir" w:cs="Avenir" w:eastAsia="Avenir" w:hAnsi="Avenir"/>
        </w:rPr>
      </w:pPr>
      <w:r w:rsidDel="00000000" w:rsidR="00000000" w:rsidRPr="00000000">
        <w:rPr>
          <w:rtl w:val="0"/>
        </w:rPr>
      </w:r>
    </w:p>
    <w:p w:rsidR="00000000" w:rsidDel="00000000" w:rsidP="00000000" w:rsidRDefault="00000000" w:rsidRPr="00000000" w14:paraId="00000075">
      <w:pPr>
        <w:rPr>
          <w:rFonts w:ascii="Avenir" w:cs="Avenir" w:eastAsia="Avenir" w:hAnsi="Avenir"/>
        </w:rPr>
      </w:pPr>
      <w:r w:rsidDel="00000000" w:rsidR="00000000" w:rsidRPr="00000000">
        <w:rPr>
          <w:rFonts w:ascii="Avenir" w:cs="Avenir" w:eastAsia="Avenir" w:hAnsi="Avenir"/>
          <w:rtl w:val="0"/>
        </w:rPr>
        <w:t xml:space="preserve">I then isolated all the data from April 6, the last day that a large majority of nations provided information to Oxford, resulting in a dataframe with 122 countries.  Looking at plots like those above, I realized most nations settled into a certain school stringency level, some after an initial period, and they have held this school stringency level until the present.  I therefore broke the dataframe down into four subgroups based on whether the nation had settled into level 0, 2, 3, or 4 school stringency as of April 6.  (There were no nations practicing level 1 stringency as of April 6.)</w:t>
      </w:r>
    </w:p>
    <w:p w:rsidR="00000000" w:rsidDel="00000000" w:rsidP="00000000" w:rsidRDefault="00000000" w:rsidRPr="00000000" w14:paraId="00000076">
      <w:pPr>
        <w:rPr>
          <w:rFonts w:ascii="Avenir" w:cs="Avenir" w:eastAsia="Avenir" w:hAnsi="Avenir"/>
        </w:rPr>
      </w:pPr>
      <w:r w:rsidDel="00000000" w:rsidR="00000000" w:rsidRPr="00000000">
        <w:rPr>
          <w:rtl w:val="0"/>
        </w:rPr>
      </w:r>
    </w:p>
    <w:p w:rsidR="00000000" w:rsidDel="00000000" w:rsidP="00000000" w:rsidRDefault="00000000" w:rsidRPr="00000000" w14:paraId="00000077">
      <w:pPr>
        <w:rPr>
          <w:rFonts w:ascii="Avenir" w:cs="Avenir" w:eastAsia="Avenir" w:hAnsi="Avenir"/>
        </w:rPr>
      </w:pPr>
      <w:r w:rsidDel="00000000" w:rsidR="00000000" w:rsidRPr="00000000">
        <w:rPr>
          <w:rFonts w:ascii="Avenir" w:cs="Avenir" w:eastAsia="Avenir" w:hAnsi="Avenir"/>
          <w:rtl w:val="0"/>
        </w:rPr>
        <w:t xml:space="preserve">Group 0 contains the following countries:</w:t>
      </w:r>
    </w:p>
    <w:p w:rsidR="00000000" w:rsidDel="00000000" w:rsidP="00000000" w:rsidRDefault="00000000" w:rsidRPr="00000000" w14:paraId="00000078">
      <w:pPr>
        <w:rPr>
          <w:rFonts w:ascii="Avenir" w:cs="Avenir" w:eastAsia="Avenir" w:hAnsi="Avenir"/>
        </w:rPr>
      </w:pPr>
      <w:r w:rsidDel="00000000" w:rsidR="00000000" w:rsidRPr="00000000">
        <w:rPr>
          <w:rFonts w:ascii="Avenir" w:cs="Avenir" w:eastAsia="Avenir" w:hAnsi="Avenir"/>
        </w:rPr>
        <w:drawing>
          <wp:inline distB="114300" distT="114300" distL="114300" distR="114300">
            <wp:extent cx="5943600" cy="14605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Avenir" w:cs="Avenir" w:eastAsia="Avenir" w:hAnsi="Avenir"/>
        </w:rPr>
      </w:pPr>
      <w:r w:rsidDel="00000000" w:rsidR="00000000" w:rsidRPr="00000000">
        <w:rPr>
          <w:rtl w:val="0"/>
        </w:rPr>
      </w:r>
    </w:p>
    <w:p w:rsidR="00000000" w:rsidDel="00000000" w:rsidP="00000000" w:rsidRDefault="00000000" w:rsidRPr="00000000" w14:paraId="0000007A">
      <w:pPr>
        <w:rPr>
          <w:rFonts w:ascii="Avenir" w:cs="Avenir" w:eastAsia="Avenir" w:hAnsi="Avenir"/>
        </w:rPr>
      </w:pPr>
      <w:r w:rsidDel="00000000" w:rsidR="00000000" w:rsidRPr="00000000">
        <w:rPr>
          <w:rFonts w:ascii="Avenir" w:cs="Avenir" w:eastAsia="Avenir" w:hAnsi="Avenir"/>
          <w:rtl w:val="0"/>
        </w:rPr>
        <w:t xml:space="preserve">Group 2:</w:t>
      </w:r>
    </w:p>
    <w:p w:rsidR="00000000" w:rsidDel="00000000" w:rsidP="00000000" w:rsidRDefault="00000000" w:rsidRPr="00000000" w14:paraId="0000007B">
      <w:pPr>
        <w:rPr>
          <w:rFonts w:ascii="Avenir" w:cs="Avenir" w:eastAsia="Avenir" w:hAnsi="Avenir"/>
        </w:rPr>
      </w:pPr>
      <w:r w:rsidDel="00000000" w:rsidR="00000000" w:rsidRPr="00000000">
        <w:rPr>
          <w:rFonts w:ascii="Avenir" w:cs="Avenir" w:eastAsia="Avenir" w:hAnsi="Avenir"/>
        </w:rPr>
        <w:drawing>
          <wp:inline distB="114300" distT="114300" distL="114300" distR="114300">
            <wp:extent cx="5943600" cy="4826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Avenir" w:cs="Avenir" w:eastAsia="Avenir" w:hAnsi="Avenir"/>
        </w:rPr>
      </w:pPr>
      <w:r w:rsidDel="00000000" w:rsidR="00000000" w:rsidRPr="00000000">
        <w:rPr>
          <w:rtl w:val="0"/>
        </w:rPr>
      </w:r>
    </w:p>
    <w:p w:rsidR="00000000" w:rsidDel="00000000" w:rsidP="00000000" w:rsidRDefault="00000000" w:rsidRPr="00000000" w14:paraId="0000007D">
      <w:pPr>
        <w:rPr>
          <w:rFonts w:ascii="Avenir" w:cs="Avenir" w:eastAsia="Avenir" w:hAnsi="Avenir"/>
        </w:rPr>
      </w:pPr>
      <w:r w:rsidDel="00000000" w:rsidR="00000000" w:rsidRPr="00000000">
        <w:rPr>
          <w:rFonts w:ascii="Avenir" w:cs="Avenir" w:eastAsia="Avenir" w:hAnsi="Avenir"/>
          <w:rtl w:val="0"/>
        </w:rPr>
        <w:t xml:space="preserve">Group 3:</w:t>
      </w:r>
    </w:p>
    <w:p w:rsidR="00000000" w:rsidDel="00000000" w:rsidP="00000000" w:rsidRDefault="00000000" w:rsidRPr="00000000" w14:paraId="0000007E">
      <w:pPr>
        <w:rPr>
          <w:rFonts w:ascii="Avenir" w:cs="Avenir" w:eastAsia="Avenir" w:hAnsi="Avenir"/>
        </w:rPr>
      </w:pPr>
      <w:r w:rsidDel="00000000" w:rsidR="00000000" w:rsidRPr="00000000">
        <w:rPr>
          <w:rFonts w:ascii="Avenir" w:cs="Avenir" w:eastAsia="Avenir" w:hAnsi="Avenir"/>
        </w:rPr>
        <w:drawing>
          <wp:inline distB="114300" distT="114300" distL="114300" distR="114300">
            <wp:extent cx="5943600" cy="8890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Avenir" w:cs="Avenir" w:eastAsia="Avenir" w:hAnsi="Avenir"/>
        </w:rPr>
      </w:pPr>
      <w:r w:rsidDel="00000000" w:rsidR="00000000" w:rsidRPr="00000000">
        <w:rPr>
          <w:rtl w:val="0"/>
        </w:rPr>
      </w:r>
    </w:p>
    <w:p w:rsidR="00000000" w:rsidDel="00000000" w:rsidP="00000000" w:rsidRDefault="00000000" w:rsidRPr="00000000" w14:paraId="00000080">
      <w:pPr>
        <w:rPr>
          <w:rFonts w:ascii="Avenir" w:cs="Avenir" w:eastAsia="Avenir" w:hAnsi="Avenir"/>
        </w:rPr>
      </w:pPr>
      <w:r w:rsidDel="00000000" w:rsidR="00000000" w:rsidRPr="00000000">
        <w:rPr>
          <w:rFonts w:ascii="Avenir" w:cs="Avenir" w:eastAsia="Avenir" w:hAnsi="Avenir"/>
          <w:rtl w:val="0"/>
        </w:rPr>
        <w:t xml:space="preserve">The remaining 106 countries fall into the group having school stringency level 4.</w:t>
      </w:r>
    </w:p>
    <w:p w:rsidR="00000000" w:rsidDel="00000000" w:rsidP="00000000" w:rsidRDefault="00000000" w:rsidRPr="00000000" w14:paraId="00000081">
      <w:pPr>
        <w:rPr>
          <w:rFonts w:ascii="Avenir" w:cs="Avenir" w:eastAsia="Avenir" w:hAnsi="Avenir"/>
        </w:rPr>
      </w:pPr>
      <w:r w:rsidDel="00000000" w:rsidR="00000000" w:rsidRPr="00000000">
        <w:rPr>
          <w:rtl w:val="0"/>
        </w:rPr>
      </w:r>
    </w:p>
    <w:p w:rsidR="00000000" w:rsidDel="00000000" w:rsidP="00000000" w:rsidRDefault="00000000" w:rsidRPr="00000000" w14:paraId="00000082">
      <w:pPr>
        <w:rPr>
          <w:rFonts w:ascii="Avenir" w:cs="Avenir" w:eastAsia="Avenir" w:hAnsi="Avenir"/>
        </w:rPr>
      </w:pPr>
      <w:r w:rsidDel="00000000" w:rsidR="00000000" w:rsidRPr="00000000">
        <w:rPr>
          <w:rFonts w:ascii="Avenir" w:cs="Avenir" w:eastAsia="Avenir" w:hAnsi="Avenir"/>
          <w:rtl w:val="0"/>
        </w:rPr>
        <w:t xml:space="preserve">Finally, I used the Kruskal-Wallis test for non-normally-distributed data to test for significant differences between the confirmed deaths per 100,000 population of the groups.  </w:t>
      </w:r>
    </w:p>
    <w:p w:rsidR="00000000" w:rsidDel="00000000" w:rsidP="00000000" w:rsidRDefault="00000000" w:rsidRPr="00000000" w14:paraId="00000083">
      <w:pPr>
        <w:rPr>
          <w:rFonts w:ascii="Avenir" w:cs="Avenir" w:eastAsia="Avenir" w:hAnsi="Avenir"/>
        </w:rPr>
      </w:pPr>
      <w:r w:rsidDel="00000000" w:rsidR="00000000" w:rsidRPr="00000000">
        <w:rPr>
          <w:rtl w:val="0"/>
        </w:rPr>
      </w:r>
    </w:p>
    <w:p w:rsidR="00000000" w:rsidDel="00000000" w:rsidP="00000000" w:rsidRDefault="00000000" w:rsidRPr="00000000" w14:paraId="00000084">
      <w:pPr>
        <w:rPr>
          <w:rFonts w:ascii="Avenir" w:cs="Avenir" w:eastAsia="Avenir" w:hAnsi="Avenir"/>
        </w:rPr>
      </w:pPr>
      <w:r w:rsidDel="00000000" w:rsidR="00000000" w:rsidRPr="00000000">
        <w:rPr>
          <w:rFonts w:ascii="Avenir" w:cs="Avenir" w:eastAsia="Avenir" w:hAnsi="Avenir"/>
        </w:rPr>
        <w:drawing>
          <wp:inline distB="114300" distT="114300" distL="114300" distR="114300">
            <wp:extent cx="5824538" cy="3780349"/>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24538" cy="3780349"/>
                    </a:xfrm>
                    <a:prstGeom prst="rect"/>
                    <a:ln/>
                  </pic:spPr>
                </pic:pic>
              </a:graphicData>
            </a:graphic>
          </wp:inline>
        </w:drawing>
      </w:r>
      <w:r w:rsidDel="00000000" w:rsidR="00000000" w:rsidRPr="00000000">
        <w:rPr>
          <w:rFonts w:ascii="Avenir" w:cs="Avenir" w:eastAsia="Avenir" w:hAnsi="Avenir"/>
        </w:rPr>
        <w:drawing>
          <wp:inline distB="114300" distT="114300" distL="114300" distR="114300">
            <wp:extent cx="5943600" cy="4318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Avenir" w:cs="Avenir" w:eastAsia="Avenir" w:hAnsi="Avenir"/>
          <w:b w:val="1"/>
          <w:sz w:val="26"/>
          <w:szCs w:val="26"/>
        </w:rPr>
      </w:pPr>
      <w:r w:rsidDel="00000000" w:rsidR="00000000" w:rsidRPr="00000000">
        <w:rPr>
          <w:rtl w:val="0"/>
        </w:rPr>
      </w:r>
    </w:p>
    <w:p w:rsidR="00000000" w:rsidDel="00000000" w:rsidP="00000000" w:rsidRDefault="00000000" w:rsidRPr="00000000" w14:paraId="00000086">
      <w:pPr>
        <w:rPr>
          <w:rFonts w:ascii="Avenir" w:cs="Avenir" w:eastAsia="Avenir" w:hAnsi="Avenir"/>
          <w:b w:val="1"/>
          <w:sz w:val="26"/>
          <w:szCs w:val="26"/>
        </w:rPr>
      </w:pPr>
      <w:r w:rsidDel="00000000" w:rsidR="00000000" w:rsidRPr="00000000">
        <w:rPr>
          <w:rFonts w:ascii="Avenir" w:cs="Avenir" w:eastAsia="Avenir" w:hAnsi="Avenir"/>
          <w:b w:val="1"/>
          <w:sz w:val="26"/>
          <w:szCs w:val="26"/>
          <w:rtl w:val="0"/>
        </w:rPr>
        <w:t xml:space="preserve">Results</w:t>
      </w:r>
    </w:p>
    <w:p w:rsidR="00000000" w:rsidDel="00000000" w:rsidP="00000000" w:rsidRDefault="00000000" w:rsidRPr="00000000" w14:paraId="00000087">
      <w:pPr>
        <w:rPr>
          <w:rFonts w:ascii="Avenir" w:cs="Avenir" w:eastAsia="Avenir" w:hAnsi="Avenir"/>
        </w:rPr>
      </w:pPr>
      <w:r w:rsidDel="00000000" w:rsidR="00000000" w:rsidRPr="00000000">
        <w:rPr>
          <w:rFonts w:ascii="Avenir" w:cs="Avenir" w:eastAsia="Avenir" w:hAnsi="Avenir"/>
          <w:rtl w:val="0"/>
        </w:rPr>
        <w:t xml:space="preserve">The resulting p-value of 0.179 is too high to indicate a significant difference in the distributions of death rates based on the stringency of school closure.  This means that, as of April 6, there is no significant difference in coronavirus death rates between nations who have no school closure vs complete school closure.  However, this is a very narrow slice of data and a very complex issue, and many more tests could be conducted to study the relationships between school closure and coronavirus death rates, particularly as time goes on.</w:t>
      </w:r>
    </w:p>
    <w:p w:rsidR="00000000" w:rsidDel="00000000" w:rsidP="00000000" w:rsidRDefault="00000000" w:rsidRPr="00000000" w14:paraId="00000088">
      <w:pPr>
        <w:rPr>
          <w:rFonts w:ascii="Avenir" w:cs="Avenir" w:eastAsia="Avenir" w:hAnsi="Avenir"/>
        </w:rPr>
      </w:pPr>
      <w:r w:rsidDel="00000000" w:rsidR="00000000" w:rsidRPr="00000000">
        <w:rPr>
          <w:rtl w:val="0"/>
        </w:rPr>
      </w:r>
    </w:p>
    <w:p w:rsidR="00000000" w:rsidDel="00000000" w:rsidP="00000000" w:rsidRDefault="00000000" w:rsidRPr="00000000" w14:paraId="00000089">
      <w:pPr>
        <w:rPr>
          <w:rFonts w:ascii="Avenir" w:cs="Avenir" w:eastAsia="Avenir" w:hAnsi="Avenir"/>
          <w:b w:val="1"/>
          <w:sz w:val="26"/>
          <w:szCs w:val="26"/>
        </w:rPr>
      </w:pPr>
      <w:r w:rsidDel="00000000" w:rsidR="00000000" w:rsidRPr="00000000">
        <w:rPr>
          <w:rFonts w:ascii="Avenir" w:cs="Avenir" w:eastAsia="Avenir" w:hAnsi="Avenir"/>
          <w:b w:val="1"/>
          <w:sz w:val="26"/>
          <w:szCs w:val="26"/>
          <w:rtl w:val="0"/>
        </w:rPr>
        <w:t xml:space="preserve">Discussion &amp; Recommendations</w:t>
      </w:r>
    </w:p>
    <w:p w:rsidR="00000000" w:rsidDel="00000000" w:rsidP="00000000" w:rsidRDefault="00000000" w:rsidRPr="00000000" w14:paraId="0000008A">
      <w:pPr>
        <w:rPr>
          <w:rFonts w:ascii="Avenir" w:cs="Avenir" w:eastAsia="Avenir" w:hAnsi="Avenir"/>
        </w:rPr>
      </w:pPr>
      <w:r w:rsidDel="00000000" w:rsidR="00000000" w:rsidRPr="00000000">
        <w:rPr>
          <w:rFonts w:ascii="Avenir" w:cs="Avenir" w:eastAsia="Avenir" w:hAnsi="Avenir"/>
          <w:rtl w:val="0"/>
        </w:rPr>
        <w:t xml:space="preserve">There are many more factors that could be studied relative to school closures and coronavirus deaths.  First, the same test should be run regularly over the next months as more data is collected and sample sizes become larger.  Second, rather than grouping the data by day and by school stringency measures, date from first death and date from implementation of stringency measures could be taken into account.  Population density could be included in calculations.  Urban and rural areas could be separated; where available, the ages of those dying from coronavirus could be studied.</w:t>
      </w:r>
    </w:p>
    <w:p w:rsidR="00000000" w:rsidDel="00000000" w:rsidP="00000000" w:rsidRDefault="00000000" w:rsidRPr="00000000" w14:paraId="0000008B">
      <w:pPr>
        <w:rPr>
          <w:rFonts w:ascii="Avenir" w:cs="Avenir" w:eastAsia="Avenir" w:hAnsi="Avenir"/>
        </w:rPr>
      </w:pPr>
      <w:r w:rsidDel="00000000" w:rsidR="00000000" w:rsidRPr="00000000">
        <w:rPr>
          <w:rtl w:val="0"/>
        </w:rPr>
      </w:r>
    </w:p>
    <w:p w:rsidR="00000000" w:rsidDel="00000000" w:rsidP="00000000" w:rsidRDefault="00000000" w:rsidRPr="00000000" w14:paraId="0000008C">
      <w:pPr>
        <w:rPr>
          <w:rFonts w:ascii="Avenir" w:cs="Avenir" w:eastAsia="Avenir" w:hAnsi="Avenir"/>
        </w:rPr>
      </w:pPr>
      <w:r w:rsidDel="00000000" w:rsidR="00000000" w:rsidRPr="00000000">
        <w:rPr>
          <w:rFonts w:ascii="Avenir" w:cs="Avenir" w:eastAsia="Avenir" w:hAnsi="Avenir"/>
          <w:rtl w:val="0"/>
        </w:rPr>
        <w:t xml:space="preserve">The measures leading to any change in coronavirus deaths over time are complex, as partially reflected in the thirteen measures used by the Oxford researchers in their study and incorporated into a more general Stringency Index.  As the pandemic progresses, this research may become more useful as part of a larger effort which includes analyzing all thirteen measured factors against new coronavirus deaths, probably with more complex statistical methods.  That might lead to more comprehensive data-driven recommendations for governments during future viral outbreaks.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veni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www.imperial.ac.uk/media/imperial-college/medicine/sph/ide/gida-fellowships/Imperial-College-COVID19-NPI-modelling-16-03-2020.pdf" TargetMode="External"/><Relationship Id="rId13" Type="http://schemas.openxmlformats.org/officeDocument/2006/relationships/image" Target="media/image6.png"/><Relationship Id="rId12" Type="http://schemas.openxmlformats.org/officeDocument/2006/relationships/hyperlink" Target="https://population.un.org/wpp/Download/Standard/CS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vidtracker.bsg.ox.ac.uk/stringency-scatter" TargetMode="Externa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bsg.ox.ac.uk/sites/default/files/2020-04/BSG-WP-2020-031-v4.0_0.pdf" TargetMode="External"/><Relationship Id="rId7" Type="http://schemas.openxmlformats.org/officeDocument/2006/relationships/hyperlink" Target="https://covidtracker.bsg.ox.ac.uk/" TargetMode="External"/><Relationship Id="rId8" Type="http://schemas.openxmlformats.org/officeDocument/2006/relationships/hyperlink" Target="https://colab.research.google.com/drive/1z_9obvCFl2gAxk3ckVRC-ncMwexVz0H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