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41.png" ContentType="image/png"/>
  <Override PartName="/word/media/rId44.png" ContentType="image/png"/>
  <Override PartName="/word/media/rId3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p>
      <w:pPr>
        <w:pStyle w:val="Subtitle"/>
      </w:pPr>
      <w:r>
        <w:t xml:space="preserve">When does sampling uncertainty matter in matrix population models? Evidence from published projection matrices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0" w:name="supplementary-methods"/>
    <w:p>
      <w:pPr>
        <w:pStyle w:val="Heading1"/>
      </w:pPr>
      <w:r>
        <w:t xml:space="preserve">Supplementary Methods</w:t>
      </w:r>
    </w:p>
    <w:bookmarkStart w:id="17" w:name="X8db80bf293cd88c959aa74ef5a7560efca860c5"/>
    <w:p>
      <w:pPr>
        <w:pStyle w:val="Heading2"/>
      </w:pPr>
      <w:r>
        <w:t xml:space="preserve">S1.1 Sampling-distribution workflow used for each MPM</w:t>
      </w:r>
    </w:p>
    <w:p>
      <w:pPr>
        <w:pStyle w:val="FirstParagraph"/>
      </w:pPr>
      <w:r>
        <w:t xml:space="preserve">We reconstructed transition-rate uncertainty by direct conjugate posterior sampling, using 2,000 draws per MPM for the illustrative example and 1,000 for analysis 1. For each origin-stage column of</w:t>
      </w:r>
      <w:r>
        <w:t xml:space="preserve"> </w:t>
      </w:r>
      <m:oMath>
        <m:r>
          <m:t>U</m:t>
        </m:r>
      </m:oMath>
      <w:r>
        <w:t xml:space="preserve">, allowed living transitions and death were drawn jointly from</w:t>
      </w:r>
      <w:r>
        <w:t xml:space="preserve"> </w:t>
      </w:r>
      <m:oMath>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r>
          <m:rPr>
            <m:sty m:val="p"/>
          </m:rPr>
          <m:t>(</m:t>
        </m:r>
        <m:sSub>
          <m:e>
            <m:r>
              <m:t>k</m:t>
            </m:r>
          </m:e>
          <m:sub>
            <m:r>
              <m:t>1</m:t>
            </m:r>
          </m:sub>
        </m:sSub>
        <m:r>
          <m:rPr>
            <m:sty m:val="p"/>
          </m:rPr>
          <m:t>+</m:t>
        </m:r>
        <m:r>
          <m:t>1</m:t>
        </m:r>
        <m:r>
          <m:rPr>
            <m:sty m:val="p"/>
          </m:rPr>
          <m:t>,</m:t>
        </m:r>
        <m:r>
          <m:rPr>
            <m:sty m:val="p"/>
          </m:rPr>
          <m:t>…</m:t>
        </m:r>
        <m:r>
          <m:rPr>
            <m:sty m:val="p"/>
          </m:rPr>
          <m:t>,</m:t>
        </m:r>
        <m:sSub>
          <m:e>
            <m:r>
              <m:t>k</m:t>
            </m:r>
          </m:e>
          <m:sub>
            <m:r>
              <m:t>m</m:t>
            </m:r>
          </m:sub>
        </m:sSub>
        <m:r>
          <m:rPr>
            <m:sty m:val="p"/>
          </m:rPr>
          <m:t>+</m:t>
        </m:r>
        <m:r>
          <m:t>1</m:t>
        </m:r>
        <m:r>
          <m:rPr>
            <m:sty m:val="p"/>
          </m:rPr>
          <m:t>)</m:t>
        </m:r>
      </m:oMath>
      <w:r>
        <w:t xml:space="preserve">, corresponding to a multinomial likelihood and a</w:t>
      </w:r>
      <w:r>
        <w:t xml:space="preserve"> </w:t>
      </w:r>
      <m:oMath>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r>
          <m:rPr>
            <m:sty m:val="p"/>
          </m:rPr>
          <m:t>(</m:t>
        </m:r>
        <m:r>
          <m:t>1</m:t>
        </m:r>
        <m:r>
          <m:rPr>
            <m:sty m:val="p"/>
          </m:rPr>
          <m:t>,</m:t>
        </m:r>
        <m:r>
          <m:rPr>
            <m:sty m:val="p"/>
          </m:rPr>
          <m:t>…</m:t>
        </m:r>
        <m:r>
          <m:rPr>
            <m:sty m:val="p"/>
          </m:rPr>
          <m:t>,</m:t>
        </m:r>
        <m:r>
          <m:t>1</m:t>
        </m:r>
        <m:r>
          <m:rPr>
            <m:sty m:val="p"/>
          </m:rPr>
          <m:t>)</m:t>
        </m:r>
      </m:oMath>
      <w:r>
        <w:t xml:space="preserve"> </w:t>
      </w:r>
      <w:r>
        <w:t xml:space="preserve">prior. Counts</w:t>
      </w:r>
      <w:r>
        <w:t xml:space="preserve"> </w:t>
      </w:r>
      <m:oMath>
        <m:sSub>
          <m:e>
            <m:r>
              <m:t>k</m:t>
            </m:r>
          </m:e>
          <m:sub>
            <m:r>
              <m:t>m</m:t>
            </m:r>
          </m:sub>
        </m:sSub>
      </m:oMath>
      <w:r>
        <w:t xml:space="preserve"> </w:t>
      </w:r>
      <w:r>
        <w:t xml:space="preserve">were reconstructed as transition rates multiplied by stage sample size, after rescaling any</w:t>
      </w:r>
      <w:r>
        <w:t xml:space="preserve"> </w:t>
      </w:r>
      <m:oMath>
        <m:r>
          <m:t>U</m:t>
        </m:r>
      </m:oMath>
      <w:r>
        <w:t xml:space="preserve"> </w:t>
      </w:r>
      <w:r>
        <w:t xml:space="preserve">column whose sum exceeded 1. These reconstructed counts may be fractional for rounded or averaged matrix entries. Each allowed reproductive rate was drawn from</w:t>
      </w:r>
      <w:r>
        <w:t xml:space="preserve"> </w:t>
      </w:r>
      <m:oMath>
        <m:r>
          <m:rPr>
            <m:sty m:val="p"/>
          </m:rPr>
          <m:t>G</m:t>
        </m:r>
        <m:r>
          <m:rPr>
            <m:sty m:val="p"/>
          </m:rPr>
          <m:t>a</m:t>
        </m:r>
        <m:r>
          <m:rPr>
            <m:sty m:val="p"/>
          </m:rPr>
          <m:t>m</m:t>
        </m:r>
        <m:r>
          <m:rPr>
            <m:sty m:val="p"/>
          </m:rPr>
          <m:t>m</m:t>
        </m:r>
        <m:r>
          <m:rPr>
            <m:sty m:val="p"/>
          </m:rPr>
          <m:t>a</m:t>
        </m:r>
        <m:r>
          <m:rPr>
            <m:sty m:val="p"/>
          </m:rPr>
          <m:t>(</m:t>
        </m:r>
        <m:r>
          <m:t>1</m:t>
        </m:r>
        <m:r>
          <m:rPr>
            <m:sty m:val="p"/>
          </m:rPr>
          <m:t>+</m:t>
        </m:r>
        <m:r>
          <m:t>k</m:t>
        </m:r>
        <m:r>
          <m:rPr>
            <m:sty m:val="p"/>
          </m:rPr>
          <m:t>,</m:t>
        </m:r>
        <m:r>
          <m:rPr>
            <m:nor/>
            <m:sty m:val="p"/>
          </m:rPr>
          <m:t>rate</m:t>
        </m:r>
        <m:r>
          <m:rPr>
            <m:sty m:val="p"/>
          </m:rPr>
          <m:t>=</m:t>
        </m:r>
        <m:r>
          <m:t>n</m:t>
        </m:r>
        <m:r>
          <m:rPr>
            <m:sty m:val="p"/>
          </m:rPr>
          <m:t>)</m:t>
        </m:r>
      </m:oMath>
      <w:r>
        <w:t xml:space="preserve">, where</w:t>
      </w:r>
      <w:r>
        <w:t xml:space="preserve"> </w:t>
      </w:r>
      <m:oMath>
        <m:r>
          <m:t>k</m:t>
        </m:r>
        <m:r>
          <m:rPr>
            <m:sty m:val="p"/>
          </m:rPr>
          <m:t>=</m:t>
        </m:r>
        <m:r>
          <m:t>n</m:t>
        </m:r>
        <m:sSub>
          <m:e>
            <m:r>
              <m:t>F</m:t>
            </m:r>
          </m:e>
          <m:sub>
            <m:r>
              <m:t>i</m:t>
            </m:r>
            <m:r>
              <m:t>j</m:t>
            </m:r>
          </m:sub>
        </m:sSub>
      </m:oMath>
      <w:r>
        <w:t xml:space="preserve">, corresponding to a Poisson likelihood and an improper flat prior on the non-negative rate scale. These are posterior parameter draws, not bootstrap resamples of observations. We rebuilt each MPM and recalculated derived quantities for every draw.</w:t>
      </w:r>
    </w:p>
    <w:p>
      <w:pPr>
        <w:pStyle w:val="BodyText"/>
      </w:pPr>
      <w:r>
        <w:t xml:space="preserve">Allowed-transition masks default to positive entries in the focal matrix; where masks are constructed across matrices, an entry is allowed if positive in any contributing matrix. Other entries remain zero. Death is included even when its reconstructed count is zero, provided the column has an allowed living transition. This does not establish that excluded zero-valued transitions are biologically impossible. A missing sample size leaves its column unchanged; a sample size of zero produces a missing simulated column. Neither case supplies a posterior uncertainty estimate for that column. Figure 1C displays normalised marginal binomial or Poisson likelihood curves under flat priors over the plotted range; these are distinct from the joint Dirichlet draws used for derived quantities.</w:t>
      </w:r>
    </w:p>
    <w:p>
      <w:pPr>
        <w:pStyle w:val="BodyText"/>
      </w:pPr>
      <w:r>
        <w:t xml:space="preserve">Point estimates correspond to values derived directly from the reported matrix entries; uncertainty-aware summaries describe the reconstructed posterior distributions.</w:t>
      </w:r>
    </w:p>
    <w:bookmarkEnd w:id="17"/>
    <w:bookmarkStart w:id="18"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18"/>
    <w:bookmarkStart w:id="19" w:name="s1.3-pooled-and-mean-mpm-handling"/>
    <w:p>
      <w:pPr>
        <w:pStyle w:val="Heading2"/>
      </w:pPr>
      <w:r>
        <w:t xml:space="preserve">S1.3 Pooled and mean MPM handling</w:t>
      </w:r>
    </w:p>
    <w:p>
      <w:pPr>
        <w:pStyle w:val="FirstParagraph"/>
      </w:pPr>
      <w:r>
        <w:t xml:space="preserve">Analysis 1 used one population-level MPM per population. Where a pooled population MPM was available, it was used; otherwise, a mean population MPM was used; if neither was available, a population-level matrix was constructed as the element-wise mean of the available annual individual MPMs. When COMPADRE included both site-specific population rows and aggregate rows that combined multiple populations, only the site-specific population rows were retained, so that each population contributed a single analysis unit. For uncertainty propagation in pooled or mean matrices, stage-specific sample sizes were pooled across years before posterior sampling. This captures within-year sampling variation but does not fully represent between-year process variation, so the resulting uncertainty should be interpreted conservatively.</w:t>
      </w:r>
    </w:p>
    <w:bookmarkEnd w:id="19"/>
    <w:bookmarkStart w:id="20"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three main analyses:</w:t>
      </w:r>
    </w:p>
    <w:p>
      <w:pPr>
        <w:pStyle w:val="Compact"/>
        <w:numPr>
          <w:ilvl w:val="0"/>
          <w:numId w:val="1001"/>
        </w:numPr>
      </w:pPr>
      <w:r>
        <w:t xml:space="preserve">Analysis 1 models use normal priors for location/slope terms and half-normal priors for positive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1"/>
        </w:numPr>
      </w:pPr>
      <w:r>
        <w:t xml:space="preserve">Analysis 2 uses Gaussian-process recruitment models with normal priors on GP hyperparameters and coefficients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plus spring-temperature models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Compact"/>
        <w:numPr>
          <w:ilvl w:val="0"/>
          <w:numId w:val="1001"/>
        </w:numPr>
      </w:pPr>
      <w:r>
        <w:t xml:space="preserve">Analysis 3 fits its model with year-specific process variation using</w:t>
      </w:r>
      <w:r>
        <w:t xml:space="preserve"> </w:t>
      </w:r>
      <w:r>
        <w:rPr>
          <w:rStyle w:val="VerbatimChar"/>
        </w:rPr>
        <w:t xml:space="preserve">models/poisson_climate_latent.stan</w:t>
      </w:r>
      <w:r>
        <w:t xml:space="preserve">: the intercept and climate coefficient have</w:t>
      </w:r>
      <w:r>
        <w:t xml:space="preserve"> </w:t>
      </w:r>
      <m:oMath>
        <m:r>
          <m:rPr>
            <m:nor/>
            <m:sty m:val="p"/>
          </m:rPr>
          <m:t>Normal</m:t>
        </m:r>
        <m:r>
          <m:rPr>
            <m:sty m:val="p"/>
          </m:rPr>
          <m:t>(</m:t>
        </m:r>
        <m:r>
          <m:t>0</m:t>
        </m:r>
        <m:r>
          <m:rPr>
            <m:sty m:val="p"/>
          </m:rPr>
          <m:t>,</m:t>
        </m:r>
        <m:r>
          <m:t>2</m:t>
        </m:r>
        <m:r>
          <m:rPr>
            <m:sty m:val="p"/>
          </m:rPr>
          <m:t>)</m:t>
        </m:r>
      </m:oMath>
      <w:r>
        <w:t xml:space="preserve"> </w:t>
      </w:r>
      <w:r>
        <w:t xml:space="preserve">and</w:t>
      </w:r>
      <w:r>
        <w:t xml:space="preserve"> </w:t>
      </w:r>
      <m:oMath>
        <m:r>
          <m:rPr>
            <m:nor/>
            <m:sty m:val="p"/>
          </m:rPr>
          <m:t>Normal</m:t>
        </m:r>
        <m:r>
          <m:rPr>
            <m:sty m:val="p"/>
          </m:rPr>
          <m:t>(</m:t>
        </m:r>
        <m:r>
          <m:t>0</m:t>
        </m:r>
        <m:r>
          <m:rPr>
            <m:sty m:val="p"/>
          </m:rPr>
          <m:t>,</m:t>
        </m:r>
        <m:r>
          <m:t>1</m:t>
        </m:r>
        <m:r>
          <m:rPr>
            <m:sty m:val="p"/>
          </m:rPr>
          <m:t>)</m:t>
        </m:r>
      </m:oMath>
      <w:r>
        <w:t xml:space="preserve"> </w:t>
      </w:r>
      <w:r>
        <w:t xml:space="preserve">priors, respectively; the process standard deviation has an</w:t>
      </w:r>
      <w:r>
        <w:t xml:space="preserve"> </w:t>
      </w:r>
      <m:oMath>
        <m:r>
          <m:rPr>
            <m:nor/>
            <m:sty m:val="p"/>
          </m:rPr>
          <m:t>Exponential</m:t>
        </m:r>
        <m:r>
          <m:rPr>
            <m:sty m:val="p"/>
          </m:rPr>
          <m:t>(</m:t>
        </m:r>
        <m:r>
          <m:t>1</m:t>
        </m:r>
        <m:r>
          <m:rPr>
            <m:sty m:val="p"/>
          </m:rPr>
          <m:t>)</m:t>
        </m:r>
      </m:oMath>
      <w:r>
        <w:t xml:space="preserve"> </w:t>
      </w:r>
      <w:r>
        <w:t xml:space="preserve">prior, and the standardised year effects have</w:t>
      </w:r>
      <w:r>
        <w:t xml:space="preserve"> </w:t>
      </w:r>
      <m:oMath>
        <m:r>
          <m:rPr>
            <m:nor/>
            <m:sty m:val="p"/>
          </m:rPr>
          <m:t>Normal</m:t>
        </m:r>
        <m:r>
          <m:rPr>
            <m:sty m:val="p"/>
          </m:rPr>
          <m:t>(</m:t>
        </m:r>
        <m:r>
          <m:t>0</m:t>
        </m:r>
        <m:r>
          <m:rPr>
            <m:sty m:val="p"/>
          </m:rPr>
          <m:t>,</m:t>
        </m:r>
        <m:r>
          <m:t>1</m:t>
        </m:r>
        <m:r>
          <m:rPr>
            <m:sty m:val="p"/>
          </m:rPr>
          <m:t>)</m:t>
        </m:r>
      </m:oMath>
      <w:r>
        <w:t xml:space="preserve"> </w:t>
      </w:r>
      <w:r>
        <w:t xml:space="preserve">priors. Its Gaussian and Poisson point-estimate models use</w:t>
      </w:r>
      <w:r>
        <w:t xml:space="preserve"> </w:t>
      </w:r>
      <w:r>
        <w:rPr>
          <w:rStyle w:val="VerbatimChar"/>
        </w:rPr>
        <w:t xml:space="preserve">stats::glm()</w:t>
      </w:r>
      <w:r>
        <w:t xml:space="preserve"> </w:t>
      </w:r>
      <w:r>
        <w:t xml:space="preserve">and have no Bayesian priors.</w:t>
      </w:r>
    </w:p>
    <w:p>
      <w:pPr>
        <w:pStyle w:val="Compact"/>
        <w:numPr>
          <w:ilvl w:val="0"/>
          <w:numId w:val="1001"/>
        </w:numPr>
      </w:pPr>
      <w:r>
        <w:t xml:space="preserve">The multisite</w:t>
      </w:r>
      <w:r>
        <w:t xml:space="preserve"> </w:t>
      </w:r>
      <w:r>
        <w:rPr>
          <w:i/>
          <w:iCs/>
        </w:rPr>
        <w:t xml:space="preserve">Astragalus scaphoides</w:t>
      </w:r>
      <w:r>
        <w:t xml:space="preserve"> </w:t>
      </w:r>
      <w:r>
        <w:t xml:space="preserve">robustness analysis uses the same Gaussian-process recruitment model pair as analysis 2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 together with a simpler spring-temperature regression pair using weakly informative normal priors on regression coefficients and scale terms (</w:t>
      </w:r>
      <w:r>
        <w:rPr>
          <w:rStyle w:val="VerbatimChar"/>
        </w:rPr>
        <w:t xml:space="preserve">models/regress.stan</w:t>
      </w:r>
      <w:r>
        <w:t xml:space="preserve"> </w:t>
      </w:r>
      <w:r>
        <w:t xml:space="preserve">and</w:t>
      </w:r>
      <w:r>
        <w:t xml:space="preserve"> </w:t>
      </w:r>
      <w:r>
        <w:rPr>
          <w:rStyle w:val="VerbatimChar"/>
        </w:rPr>
        <w:t xml:space="preserve">models/regress_log_err.stan</w:t>
      </w:r>
      <w:r>
        <w:t xml:space="preserve">).</w:t>
      </w:r>
    </w:p>
    <w:p>
      <w:pPr>
        <w:pStyle w:val="FirstParagraph"/>
      </w:pPr>
      <w:r>
        <w:t xml:space="preserve">Fitting settings used in scripts:</w:t>
      </w:r>
    </w:p>
    <w:p>
      <w:pPr>
        <w:pStyle w:val="Compact"/>
        <w:numPr>
          <w:ilvl w:val="0"/>
          <w:numId w:val="1002"/>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2"/>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p>
      <w:pPr>
        <w:pStyle w:val="Compact"/>
        <w:numPr>
          <w:ilvl w:val="0"/>
          <w:numId w:val="1002"/>
        </w:numPr>
      </w:pPr>
      <w:r>
        <w:t xml:space="preserve">Analysis 3 (</w:t>
      </w:r>
      <w:r>
        <w:rPr>
          <w:rStyle w:val="VerbatimChar"/>
        </w:rPr>
        <w:t xml:space="preserve">scripts/S16_analysis_3_simulation.R</w:t>
      </w:r>
      <w:r>
        <w:t xml:space="preserve">):</w:t>
      </w:r>
      <w:r>
        <w:t xml:space="preserve"> </w:t>
      </w:r>
      <w:r>
        <w:rPr>
          <w:rStyle w:val="VerbatimChar"/>
        </w:rPr>
        <w:t xml:space="preserve">chains = 4</w:t>
      </w:r>
      <w:r>
        <w:t xml:space="preserve">,</w:t>
      </w:r>
      <w:r>
        <w:t xml:space="preserve"> </w:t>
      </w:r>
      <w:r>
        <w:rPr>
          <w:rStyle w:val="VerbatimChar"/>
        </w:rPr>
        <w:t xml:space="preserve">iter = 3000</w:t>
      </w:r>
      <w:r>
        <w:t xml:space="preserve">,</w:t>
      </w:r>
      <w:r>
        <w:t xml:space="preserve"> </w:t>
      </w:r>
      <w:r>
        <w:rPr>
          <w:rStyle w:val="VerbatimChar"/>
        </w:rPr>
        <w:t xml:space="preserve">warmup = 1500</w:t>
      </w:r>
      <w:r>
        <w:t xml:space="preserve">, and a separate reproducible seed for each simulated time series.</w:t>
      </w:r>
    </w:p>
    <w:p>
      <w:pPr>
        <w:pStyle w:val="Compact"/>
        <w:numPr>
          <w:ilvl w:val="0"/>
          <w:numId w:val="1002"/>
        </w:numPr>
      </w:pPr>
      <w:r>
        <w:t xml:space="preserve">Multisite</w:t>
      </w:r>
      <w:r>
        <w:t xml:space="preserve"> </w:t>
      </w:r>
      <w:r>
        <w:rPr>
          <w:i/>
          <w:iCs/>
        </w:rPr>
        <w:t xml:space="preserve">Astragalus scaphoides</w:t>
      </w:r>
      <w:r>
        <w:t xml:space="preserve"> </w:t>
      </w:r>
      <w:r>
        <w:t xml:space="preserve">robustness analysis (</w:t>
      </w:r>
      <w:r>
        <w:rPr>
          <w:rStyle w:val="VerbatimChar"/>
        </w:rPr>
        <w:t xml:space="preserve">scripts/S14_case_study_3_astragalus.R</w:t>
      </w:r>
      <w:r>
        <w:t xml:space="preserve">):</w:t>
      </w:r>
      <w:r>
        <w:t xml:space="preserve"> </w:t>
      </w:r>
      <w:r>
        <w:rPr>
          <w:rStyle w:val="VerbatimChar"/>
        </w:rPr>
        <w:t xml:space="preserve">iter = 5000</w:t>
      </w:r>
      <w:r>
        <w:t xml:space="preserve">,</w:t>
      </w:r>
      <w:r>
        <w:t xml:space="preserve"> </w:t>
      </w:r>
      <w:r>
        <w:rPr>
          <w:rStyle w:val="VerbatimChar"/>
        </w:rPr>
        <w:t xml:space="preserve">seed = 5654</w:t>
      </w:r>
      <w:r>
        <w:t xml:space="preserve">, using the same GP control settings as analysis 2 for recruitment models and matched regression settings for the simplified spring-temperature models.</w:t>
      </w:r>
    </w:p>
    <w:bookmarkEnd w:id="20"/>
    <w:bookmarkStart w:id="21" w:name="Xfc1757ff7d617a25f149ff0e411af1965911e9e"/>
    <w:p>
      <w:pPr>
        <w:pStyle w:val="Heading2"/>
      </w:pPr>
      <w:r>
        <w:t xml:space="preserve">S1.5 Comparison of point-estimate and posterior-mean variance</w:t>
      </w:r>
    </w:p>
    <w:p>
      <w:pPr>
        <w:pStyle w:val="FirstParagraph"/>
      </w:pPr>
      <w:r>
        <w:t xml:space="preserve">For each parameter, we compared variance across population-level MPM entries using:</w:t>
      </w:r>
    </w:p>
    <w:p>
      <w:pPr>
        <w:pStyle w:val="Compact"/>
        <w:numPr>
          <w:ilvl w:val="0"/>
          <w:numId w:val="1003"/>
        </w:numPr>
      </w:pPr>
      <w:r>
        <w:t xml:space="preserve">the value derived from each matrix point estimate,</w:t>
      </w:r>
      <w:r>
        <w:t xml:space="preserve"> </w:t>
      </w:r>
      <m:oMath>
        <m:sSub>
          <m:e>
            <m:acc>
              <m:accPr>
                <m:chr m:val="̂"/>
              </m:accPr>
              <m:e>
                <m:r>
                  <m:t>θ</m:t>
                </m:r>
              </m:e>
            </m:acc>
          </m:e>
          <m:sub>
            <m:r>
              <m:t>p</m:t>
            </m:r>
          </m:sub>
        </m:sSub>
      </m:oMath>
      <w:r>
        <w:t xml:space="preserve">;</w:t>
      </w:r>
    </w:p>
    <w:p>
      <w:pPr>
        <w:pStyle w:val="Compact"/>
        <w:numPr>
          <w:ilvl w:val="0"/>
          <w:numId w:val="1003"/>
        </w:numPr>
      </w:pPr>
      <w:r>
        <w:t xml:space="preserve">the mean of its reconstructed posterior distribution,</w:t>
      </w:r>
      <w:r>
        <w:t xml:space="preserve"> </w:t>
      </w:r>
      <m:oMath>
        <m:sSub>
          <m:e>
            <m:acc>
              <m:accPr>
                <m:chr m:val="‾"/>
              </m:accPr>
              <m:e>
                <m:r>
                  <m:t>θ</m:t>
                </m:r>
              </m:e>
            </m:acc>
          </m:e>
          <m:sub>
            <m:r>
              <m:t>p</m:t>
            </m:r>
          </m:sub>
        </m:sSub>
      </m:oMath>
      <w:r>
        <w:t xml:space="preserve">.</w:t>
      </w:r>
    </w:p>
    <w:p>
      <w:pPr>
        <w:pStyle w:val="FirstParagraph"/>
      </w:pPr>
      <w:r>
        <w:t xml:space="preserve">For population-level entries</w:t>
      </w:r>
      <w:r>
        <w:t xml:space="preserve"> </w:t>
      </w:r>
      <m:oMath>
        <m:r>
          <m:t>p</m:t>
        </m:r>
      </m:oMath>
      <w:r>
        <w:t xml:space="preserve">, the reported ratio is Eq. (1):</w:t>
      </w:r>
    </w:p>
    <w:p>
      <w:pPr>
        <w:pStyle w:val="BodyText"/>
      </w:pPr>
      <m:oMathPara>
        <m:oMathParaPr>
          <m:jc m:val="center"/>
        </m:oMathParaPr>
        <m:oMath>
          <m:r>
            <m:rPr>
              <m:nor/>
              <m:sty m:val="p"/>
            </m:rPr>
            <m:t>ratio</m:t>
          </m:r>
          <m:r>
            <m:rPr>
              <m:sty m:val="p"/>
            </m:rPr>
            <m:t>=</m:t>
          </m:r>
          <m:f>
            <m:fPr>
              <m:type m:val="bar"/>
            </m:fPr>
            <m:num>
              <m:sSub>
                <m:e>
                  <m:r>
                    <m:rPr>
                      <m:sty m:val="p"/>
                    </m:rPr>
                    <m:t>Var</m:t>
                  </m:r>
                </m:e>
                <m:sub>
                  <m:r>
                    <m:t>p</m:t>
                  </m:r>
                </m:sub>
              </m:sSub>
              <m:r>
                <m:rPr>
                  <m:sty m:val="p"/>
                </m:rPr>
                <m:t>(</m:t>
              </m:r>
              <m:sSub>
                <m:e>
                  <m:acc>
                    <m:accPr>
                      <m:chr m:val="̂"/>
                    </m:accPr>
                    <m:e>
                      <m:r>
                        <m:t>θ</m:t>
                      </m:r>
                    </m:e>
                  </m:acc>
                </m:e>
                <m:sub>
                  <m:r>
                    <m:t>p</m:t>
                  </m:r>
                </m:sub>
              </m:sSub>
              <m:r>
                <m:rPr>
                  <m:sty m:val="p"/>
                </m:rPr>
                <m:t>)</m:t>
              </m:r>
            </m:num>
            <m:den>
              <m:sSub>
                <m:e>
                  <m:r>
                    <m:rPr>
                      <m:sty m:val="p"/>
                    </m:rPr>
                    <m:t>Var</m:t>
                  </m:r>
                </m:e>
                <m:sub>
                  <m:r>
                    <m:t>p</m:t>
                  </m:r>
                </m:sub>
              </m:sSub>
              <m:r>
                <m:rPr>
                  <m:sty m:val="p"/>
                </m:rPr>
                <m:t>(</m:t>
              </m:r>
              <m:sSub>
                <m:e>
                  <m:acc>
                    <m:accPr>
                      <m:chr m:val="‾"/>
                    </m:accPr>
                    <m:e>
                      <m:r>
                        <m:t>θ</m:t>
                      </m:r>
                    </m:e>
                  </m:acc>
                </m:e>
                <m:sub>
                  <m:r>
                    <m:t>p</m:t>
                  </m:r>
                </m:sub>
              </m:sSub>
              <m:r>
                <m:rPr>
                  <m:sty m:val="p"/>
                </m:rPr>
                <m:t>)</m:t>
              </m:r>
            </m:den>
          </m:f>
          <m:r>
            <m:rPr>
              <m:sty m:val="p"/>
            </m:rPr>
            <m:t>.</m:t>
          </m:r>
          <m:r>
            <m:t>  </m:t>
          </m:r>
          <m:r>
            <m:rPr>
              <m:sty m:val="p"/>
            </m:rPr>
            <m:t>(</m:t>
          </m:r>
          <m:r>
            <m:t>1</m:t>
          </m:r>
          <m:r>
            <m:rPr>
              <m:sty m:val="p"/>
            </m:rPr>
            <m:t>)</m:t>
          </m:r>
        </m:oMath>
      </m:oMathPara>
    </w:p>
    <w:p>
      <w:pPr>
        <w:pStyle w:val="FirstParagraph"/>
      </w:pPr>
      <w:r>
        <w:t xml:space="preserve">Ratios above 1 indicate that point estimates are more dispersed than posterior means. We obtained 95% intervals by resampling population-level entries with replacement 2,000 times, keeping each point estimate paired with its posterior mean. This descriptive ratio does not partition sampling and biological variance.</w:t>
      </w:r>
    </w:p>
    <w:bookmarkEnd w:id="21"/>
    <w:bookmarkStart w:id="22"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 stable-stage distribution (SSD)-weighted quasibinomial point-estimate model,</w:t>
      </w:r>
      <w:r>
        <w:t xml:space="preserve"> </w:t>
      </w:r>
      <m:oMath>
        <m:r>
          <m:rPr>
            <m:nor/>
            <m:scr m:val="monospace"/>
            <m:sty m:val="p"/>
          </m:rPr>
          <m:t>surv</m:t>
        </m:r>
        <m:r>
          <m:rPr>
            <m:sty m:val="p"/>
          </m:rPr>
          <m:t>∼</m:t>
        </m:r>
        <m:r>
          <m:rPr>
            <m:nor/>
            <m:scr m:val="monospace"/>
            <m:sty m:val="p"/>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 The quasibinomial model estimates dispersion, whereas the binomial model fixes it at 1; together with the different weights, this prevents attributing interval-width differences solely to sampling uncertainty. Intervals are coefficient estimates ± 1.96 standard errors (95% Wald confidence intervals). Stages failing the fitting criteria (at least five usable years, variation in temperature, and both survivors and deaths) are labelled as not estimable.</w:t>
      </w:r>
    </w:p>
    <w:bookmarkEnd w:id="22"/>
    <w:bookmarkStart w:id="23"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4"/>
        </w:numPr>
      </w:pPr>
      <w:r>
        <w:t xml:space="preserve">transition-level sample sizes for each matrix element (or reconstructable transition count tables);</w:t>
      </w:r>
    </w:p>
    <w:p>
      <w:pPr>
        <w:pStyle w:val="Compact"/>
        <w:numPr>
          <w:ilvl w:val="0"/>
          <w:numId w:val="1004"/>
        </w:numPr>
      </w:pPr>
      <w:r>
        <w:t xml:space="preserve">clear identification of pooled/mean matrices and pooling rules;</w:t>
      </w:r>
    </w:p>
    <w:p>
      <w:pPr>
        <w:pStyle w:val="Compact"/>
        <w:numPr>
          <w:ilvl w:val="0"/>
          <w:numId w:val="1004"/>
        </w:numPr>
      </w:pPr>
      <w:r>
        <w:t xml:space="preserve">uncertainty estimates on model-appropriate scales (e.g. linear predictor where relevant);</w:t>
      </w:r>
    </w:p>
    <w:p>
      <w:pPr>
        <w:pStyle w:val="Compact"/>
        <w:numPr>
          <w:ilvl w:val="0"/>
          <w:numId w:val="1004"/>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23"/>
    <w:bookmarkStart w:id="24" w:name="X47703751242b127b4a1e2b5ffd15841293c0ccc"/>
    <w:p>
      <w:pPr>
        <w:pStyle w:val="Heading2"/>
      </w:pPr>
      <w:r>
        <w:t xml:space="preserve">S1.8 Included versus excluded studies in the current target-study screen</w:t>
      </w:r>
    </w:p>
    <w:p>
      <w:pPr>
        <w:pStyle w:val="FirstParagraph"/>
      </w:pPr>
      <w:r>
        <w:t xml:space="preserve">To assess whether the studies retained for uncertainty analysis differed systematically from those screened but not retained, we compared the 23 post-2010 studies in the final dataset that still fall within the current reproducible COMPADRE screen against the remaining 69 screened studies. For each study, we summarized mean matrix dimension, mean stage-specific survival (the average of</w:t>
      </w:r>
      <w:r>
        <w:t xml:space="preserve"> </w:t>
      </w:r>
      <m:oMath>
        <m:r>
          <m:t>U</m:t>
        </m:r>
      </m:oMath>
      <w:r>
        <w:t xml:space="preserve">-column survival probabilities across matrices), and the proportions of stage-specific survival estimates equal to 0, equal to 1, or at either boundary. Dominant life form was defined as the modal</w:t>
      </w:r>
      <w:r>
        <w:t xml:space="preserve"> </w:t>
      </w:r>
      <w:r>
        <w:rPr>
          <w:rStyle w:val="VerbatimChar"/>
        </w:rPr>
        <w:t xml:space="preserve">OrganismType</w:t>
      </w:r>
      <w:r>
        <w:t xml:space="preserve"> </w:t>
      </w:r>
      <w:r>
        <w:t xml:space="preserve">among a study’s matrices. Three additional post-2010 studies in the final dataset do not fall within the current screen under COMPADRE version 6.26.3.0 (created Mar_11_2026) (</w:t>
      </w:r>
      <w:r>
        <w:rPr>
          <w:i/>
          <w:iCs/>
        </w:rPr>
        <w:t xml:space="preserve">Paeonia officinalis</w:t>
      </w:r>
      <w:r>
        <w:t xml:space="preserve">,</w:t>
      </w:r>
      <w:r>
        <w:t xml:space="preserve"> </w:t>
      </w:r>
      <w:r>
        <w:rPr>
          <w:i/>
          <w:iCs/>
        </w:rPr>
        <w:t xml:space="preserve">Tillandsia butzii</w:t>
      </w:r>
      <w:r>
        <w:t xml:space="preserve">,</w:t>
      </w:r>
      <w:r>
        <w:t xml:space="preserve"> </w:t>
      </w:r>
      <w:r>
        <w:rPr>
          <w:i/>
          <w:iCs/>
        </w:rPr>
        <w:t xml:space="preserve">Lantana camara</w:t>
      </w:r>
      <w:r>
        <w:t xml:space="preserve">), and five further studies were pre-2010 additions; these eight studies were excluded from this screen-based comparison.</w:t>
      </w:r>
    </w:p>
    <w:bookmarkEnd w:id="24"/>
    <w:bookmarkStart w:id="25" w:name="Xa94d0151380c98c8f0742d728782bf95f083eb5"/>
    <w:p>
      <w:pPr>
        <w:pStyle w:val="Heading2"/>
      </w:pPr>
      <w:r>
        <w:t xml:space="preserve">S1.9 Study and species identities in analysis 1</w:t>
      </w:r>
    </w:p>
    <w:p>
      <w:pPr>
        <w:pStyle w:val="FirstParagraph"/>
      </w:pPr>
      <w:r>
        <w:t xml:space="preserve">The analysis 1 life expectancy-shape models used 68 population-level matrix entries representing 25 species. This is a different subset from the boundary/small-sample audit in section S1.11. Study-level and species-level identities (including COMPADRE</w:t>
      </w:r>
      <w:r>
        <w:t xml:space="preserve"> </w:t>
      </w:r>
      <w:r>
        <w:rPr>
          <w:rStyle w:val="VerbatimChar"/>
        </w:rPr>
        <w:t xml:space="preserve">SpeciesAuthor</w:t>
      </w:r>
      <w:r>
        <w:t xml:space="preserve"> </w:t>
      </w:r>
      <w:r>
        <w:t xml:space="preserve">labels) are provided in Table S6.</w:t>
      </w:r>
    </w:p>
    <w:bookmarkEnd w:id="25"/>
    <w:bookmarkStart w:id="26" w:name="Xe17a52e6c92e8ef1d01ed7772a11f9653dc0919"/>
    <w:p>
      <w:pPr>
        <w:pStyle w:val="Heading2"/>
      </w:pPr>
      <w:r>
        <w:t xml:space="preserve">S1.10 Multisite robustness extension of analysis 2 (</w:t>
      </w:r>
      <w:r>
        <w:rPr>
          <w:i/>
          <w:iCs/>
        </w:rPr>
        <w:t xml:space="preserve">Astragalus scaphoides</w:t>
      </w:r>
      <w:r>
        <w:t xml:space="preserve">)</w:t>
      </w:r>
    </w:p>
    <w:p>
      <w:pPr>
        <w:pStyle w:val="FirstParagraph"/>
      </w:pPr>
      <w:r>
        <w:t xml:space="preserve">To evaluate whether the analysis 2 conclusions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as a supplementary robustness analysis.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compares model formulations within each site rather than isolating the contribution of uncertainty propagation.</w:t>
      </w:r>
    </w:p>
    <w:p>
      <w:pPr>
        <w:pStyle w:val="BodyText"/>
      </w:pPr>
      <w:r>
        <w:t xml:space="preserve">For stage-specific survival in this supplementary robustness analysis, we used the same pair of formulations as in analysis 2: an SSD-weighted quasibinomial point-estimate model (</w:t>
      </w:r>
      <m:oMath>
        <m:r>
          <m:rPr>
            <m:nor/>
            <m:scr m:val="monospace"/>
            <m:sty m:val="p"/>
          </m:rPr>
          <m:t>surv</m:t>
        </m:r>
        <m:r>
          <m:rPr>
            <m:sty m:val="p"/>
          </m:rPr>
          <m:t>∼</m:t>
        </m:r>
        <m:r>
          <m:rPr>
            <m:nor/>
            <m:scr m:val="monospace"/>
            <m:sty m:val="p"/>
          </m:rPr>
          <m:t>tmp</m:t>
        </m:r>
      </m:oMath>
      <w:r>
        <w:t xml:space="preserve">, weights from the stable stage distribution of each annual</w:t>
      </w:r>
      <w:r>
        <w:t xml:space="preserve"> </w:t>
      </w:r>
      <m:oMath>
        <m:r>
          <m:t>U</m:t>
        </m:r>
      </m:oMath>
      <w:r>
        <w:t xml:space="preserve"> </w:t>
      </w:r>
      <w:r>
        <w:t xml:space="preserve">matrix) and a binomial count model (</w:t>
      </w:r>
      <m:oMath>
        <m:r>
          <m:rPr>
            <m:nor/>
            <m:scr m:val="monospace"/>
            <m:sty m:val="p"/>
          </m:rPr>
          <m:t>cbind</m:t>
        </m:r>
        <m:r>
          <m:rPr>
            <m:sty m:val="p"/>
          </m:rPr>
          <m:t>(</m:t>
        </m:r>
        <m:sSub>
          <m:e>
            <m:r>
              <m:t>n</m:t>
            </m:r>
          </m:e>
          <m:sub>
            <m:r>
              <m:rPr>
                <m:nor/>
                <m:sty m:val="p"/>
              </m:rPr>
              <m:t>surv</m:t>
            </m:r>
          </m:sub>
        </m:sSub>
        <m:r>
          <m:rPr>
            <m:sty m:val="p"/>
          </m:rPr>
          <m:t>,</m:t>
        </m:r>
        <m:sSub>
          <m:e>
            <m:r>
              <m:t>n</m:t>
            </m:r>
          </m:e>
          <m:sub>
            <m:r>
              <m:rPr>
                <m:nor/>
                <m:sty m:val="p"/>
              </m:rPr>
              <m:t>fail</m:t>
            </m:r>
          </m:sub>
        </m:sSub>
        <m:r>
          <m:rPr>
            <m:sty m:val="p"/>
          </m:rPr>
          <m:t>)</m:t>
        </m:r>
        <m:r>
          <m:rPr>
            <m:sty m:val="p"/>
          </m:rPr>
          <m:t>∼</m:t>
        </m:r>
        <m:r>
          <m:rPr>
            <m:nor/>
            <m:scr m:val="monospace"/>
            <m:sty m:val="p"/>
          </m:rPr>
          <m:t>tmp</m:t>
        </m:r>
      </m:oMath>
      <w:r>
        <w:t xml:space="preserve">). The linear predictor and logit link are shared, but weighting and dispersion assumptions also differ, as described in section S1.6; the comparison therefore does not isolate sampling uncertainty.</w:t>
      </w:r>
    </w:p>
    <w:p>
      <w:pPr>
        <w:pStyle w:val="BodyText"/>
      </w:pPr>
      <w:r>
        <w:t xml:space="preserve">For sensitivity analyses intended to mimic database-only use (no access to true stage sample sizes), we re-fit stage-specific point-estimate models under two alternatives: (i) no weighting and (ii) SSD weighting derived from each annual</w:t>
      </w:r>
      <w:r>
        <w:t xml:space="preserve"> </w:t>
      </w:r>
      <m:oMath>
        <m:r>
          <m:t>U</m:t>
        </m:r>
      </m:oMath>
      <w:r>
        <w:t xml:space="preserve"> </w:t>
      </w:r>
      <w:r>
        <w:t xml:space="preserve">matrix.</w:t>
      </w:r>
    </w:p>
    <w:bookmarkEnd w:id="26"/>
    <w:bookmarkStart w:id="27" w:name="Xe9072593a476435e14aed5e55ee802bcf07fa9c"/>
    <w:p>
      <w:pPr>
        <w:pStyle w:val="Heading2"/>
      </w:pPr>
      <w:r>
        <w:t xml:space="preserve">S1.11 Boundary survival estimates and small stage-specific sample sizes in analysis 1</w:t>
      </w:r>
    </w:p>
    <w:p>
      <w:pPr>
        <w:pStyle w:val="FirstParagraph"/>
      </w:pPr>
      <w:r>
        <w:t xml:space="preserve">To assess whether the conditions most likely to distort point estimates were concentrated in particular parts of the analysis 1 dataset, we summarized a separate set of 68 population-level entries from 28 species with recovered stage counts by COMPADRE</w:t>
      </w:r>
      <w:r>
        <w:t xml:space="preserve"> </w:t>
      </w:r>
      <w:r>
        <w:rPr>
          <w:rStyle w:val="VerbatimChar"/>
        </w:rPr>
        <w:t xml:space="preserve">OrganismType</w:t>
      </w:r>
      <w:r>
        <w:t xml:space="preserve"> </w:t>
      </w:r>
      <w:r>
        <w:t xml:space="preserve">(used here as the available life-form grouping) and by broad matrix-dimension class (3-5 versus 6+ stages). For each population-level matrix, we recorded whether any stage-specific survival estimate lay exactly on the boundary (0 or 1), whether any stage had</w:t>
      </w:r>
      <w:r>
        <w:t xml:space="preserve"> </w:t>
      </w:r>
      <m:oMath>
        <m:r>
          <m:t>N</m:t>
        </m:r>
        <m:r>
          <m:rPr>
            <m:sty m:val="p"/>
          </m:rPr>
          <m:t>&lt;</m:t>
        </m:r>
        <m:r>
          <m:t>20</m:t>
        </m:r>
      </m:oMath>
      <w:r>
        <w:t xml:space="preserve"> </w:t>
      </w:r>
      <w:r>
        <w:t xml:space="preserve">or</w:t>
      </w:r>
      <w:r>
        <w:t xml:space="preserve"> </w:t>
      </w:r>
      <m:oMath>
        <m:r>
          <m:t>N</m:t>
        </m:r>
        <m:r>
          <m:rPr>
            <m:sty m:val="p"/>
          </m:rPr>
          <m:t>&lt;</m:t>
        </m:r>
        <m:r>
          <m:t>50</m:t>
        </m:r>
      </m:oMath>
      <w:r>
        <w:t xml:space="preserve">, and the minimum stage-specific sample size. This audit used unscaled</w:t>
      </w:r>
      <w:r>
        <w:t xml:space="preserve"> </w:t>
      </w:r>
      <m:oMath>
        <m:r>
          <m:t>U</m:t>
        </m:r>
      </m:oMath>
      <w:r>
        <w:t xml:space="preserve"> </w:t>
      </w:r>
      <w:r>
        <w:t xml:space="preserve">matrices, with exactly 100% survival in 22/68 entries, rather than the rescaled matrices and model subset described in the main Discussion. These summaries are descriptive and intended to identify where potentially fragile point estimates are concentrated in the analysed subset.</w:t>
      </w:r>
    </w:p>
    <w:bookmarkEnd w:id="27"/>
    <w:bookmarkStart w:id="28" w:name="Xbcc0c51d82b2bf49c697952fc977fc249429e0d"/>
    <w:p>
      <w:pPr>
        <w:pStyle w:val="Heading2"/>
      </w:pPr>
      <w:r>
        <w:t xml:space="preserve">S1.12 Displacement magnitude versus boundary survival structure</w:t>
      </w:r>
    </w:p>
    <w:p>
      <w:pPr>
        <w:pStyle w:val="FirstParagraph"/>
      </w:pPr>
      <w:r>
        <w:t xml:space="preserve">To examine factors associated with point-estimate displacement in analysis 1, we compared each population-level point estimate to the median of its sampling distribution for mature life expectancy and shape. We defined displacement magnitude as the absolute difference between the point estimate and the sampling-distribution median; for life expectancy, this was calculated on the</w:t>
      </w:r>
      <w:r>
        <w:t xml:space="preserve"> </w:t>
      </w:r>
      <m:oMath>
        <m:sSub>
          <m:e>
            <m:r>
              <m:rPr>
                <m:sty m:val="p"/>
              </m:rPr>
              <m:t>log</m:t>
            </m:r>
          </m:e>
          <m:sub>
            <m:r>
              <m:t>10</m:t>
            </m:r>
          </m:sub>
        </m:sSub>
      </m:oMath>
      <w:r>
        <w:t xml:space="preserve"> </w:t>
      </w:r>
      <w:r>
        <w:t xml:space="preserve">scale to reflect multiplicative discrepancies. We then related displacement magnitude to two predictors derived from the same population-level matrix: (i) the number of stage-specific survival estimates at the boundary (0 or 1), and (ii) the proportion of observed individuals belonging to boundary-survival stages, calculated from the recovered stage-specific sample sizes. We summarized these relationships with simple linear regressions and visualized them with scatter plots and fitted lines.</w:t>
      </w:r>
    </w:p>
    <w:bookmarkEnd w:id="28"/>
    <w:bookmarkStart w:id="29" w:name="Xf7ef802071fd8b0eb2240598c3d62456b26e111"/>
    <w:p>
      <w:pPr>
        <w:pStyle w:val="Heading2"/>
      </w:pPr>
      <w:r>
        <w:t xml:space="preserve">S1.13 Sensitivity to the quasi-stable-distribution truncation threshold</w:t>
      </w:r>
    </w:p>
    <w:p>
      <w:pPr>
        <w:pStyle w:val="FirstParagraph"/>
      </w:pPr>
      <w:r>
        <w:t xml:space="preserve">To assess whether the shape metric was sensitive to the truncation rule used to avoid artefactual mortality plateaus, we repeated the analysis 1 shape calculation using quasi-stable-distribution convergence thresholds of 0.5% and 5%, alongside the 1% threshold used in the main analysis. For each population-level MPM that remained estimable under all three thresholds, we recalculated the point estimate of shape and the posterior uncertainty summary using the threshold-specific truncation age</w:t>
      </w:r>
      <w:r>
        <w:t xml:space="preserve"> </w:t>
      </w:r>
      <m:oMath>
        <m:r>
          <m:t>q</m:t>
        </m:r>
      </m:oMath>
      <w:r>
        <w:t xml:space="preserve">. We then compared the resulting shape estimates to the 1% baseline using pairwise correlations, absolute differences, sign changes around zero, and shifts in</w:t>
      </w:r>
      <w:r>
        <w:t xml:space="preserve"> </w:t>
      </w:r>
      <m:oMath>
        <m:r>
          <m:t>q</m:t>
        </m:r>
      </m:oMath>
      <w:r>
        <w:t xml:space="preserve">.</w:t>
      </w:r>
    </w:p>
    <w:bookmarkEnd w:id="29"/>
    <w:bookmarkEnd w:id="30"/>
    <w:bookmarkStart w:id="36" w:name="supplementary-results"/>
    <w:p>
      <w:pPr>
        <w:pStyle w:val="Heading1"/>
      </w:pPr>
      <w:r>
        <w:t xml:space="preserve">Supplementary Results</w:t>
      </w:r>
    </w:p>
    <w:bookmarkStart w:id="31"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the</w:t>
      </w:r>
      <w:r>
        <w:t xml:space="preserve"> </w:t>
      </w:r>
      <w:r>
        <w:rPr>
          <w:i/>
          <w:iCs/>
        </w:rPr>
        <w:t xml:space="preserve">Astragalus</w:t>
      </w:r>
      <w:r>
        <w:t xml:space="preserve"> </w:t>
      </w:r>
      <w:r>
        <w:t xml:space="preserve">robustness analysis,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31"/>
    <w:bookmarkStart w:id="32" w:name="Xbaa2cca937d931f3cba9ff2d2cda76629e04fa8"/>
    <w:p>
      <w:pPr>
        <w:pStyle w:val="Heading2"/>
      </w:pPr>
      <w:r>
        <w:t xml:space="preserve">S2.2 Where do boundary estimates and small stage counts occur?</w:t>
      </w:r>
    </w:p>
    <w:p>
      <w:pPr>
        <w:pStyle w:val="FirstParagraph"/>
      </w:pPr>
      <w:r>
        <w:t xml:space="preserve">Among the 68 analysis 1 population-level entries with recovered stage counts, 42.6% contained at least one boundary survival estimate and 30.9% contained at least one stage estimated from fewer than 20 individuals. These conditions tended to co-occur: the population-level proportion of boundary survival estimates was positively correlated with the proportion of stages having</w:t>
      </w:r>
      <w:r>
        <w:t xml:space="preserve"> </w:t>
      </w:r>
      <m:oMath>
        <m:r>
          <m:t>N</m:t>
        </m:r>
        <m:r>
          <m:rPr>
            <m:sty m:val="p"/>
          </m:rPr>
          <m:t>&lt;</m:t>
        </m:r>
        <m:r>
          <m:t>20</m:t>
        </m:r>
      </m:oMath>
      <w:r>
        <w:t xml:space="preserve"> </w:t>
      </w:r>
      <w:r>
        <w:t xml:space="preserve">(</w:t>
      </w:r>
      <m:oMath>
        <m:r>
          <m:t>r</m:t>
        </m:r>
        <m:r>
          <m:rPr>
            <m:sty m:val="p"/>
          </m:rPr>
          <m:t>=</m:t>
        </m:r>
        <m:r>
          <m:t>0.35</m:t>
        </m:r>
      </m:oMath>
      <w:r>
        <w:t xml:space="preserve">).</w:t>
      </w:r>
    </w:p>
    <w:p>
      <w:pPr>
        <w:pStyle w:val="BodyText"/>
      </w:pPr>
      <w:r>
        <w:t xml:space="preserve">By life form, herbaceous perennials made up most of the analysed subset and showed the highest frequency among the well-represented categories, with 45.3% of entries containing at least one boundary survival estimate and 34.0% containing at least one stage with</w:t>
      </w:r>
      <w:r>
        <w:t xml:space="preserve"> </w:t>
      </w:r>
      <m:oMath>
        <m:r>
          <m:t>N</m:t>
        </m:r>
        <m:r>
          <m:rPr>
            <m:sty m:val="p"/>
          </m:rPr>
          <m:t>&lt;</m:t>
        </m:r>
        <m:r>
          <m:t>20</m:t>
        </m:r>
      </m:oMath>
      <w:r>
        <w:t xml:space="preserve">. Succulents showed lower corresponding values (22.2% and 22.2%, respectively). Woody life forms were too sparsely represented in the final subset for strong conclusions. By matrix dimension, both features were more common in 6+-stage matrices than in 3-5-stage matrices (61.1% versus 36.0% for any boundary estimate; 44.4% versus 26.0% for any stage with</w:t>
      </w:r>
      <w:r>
        <w:t xml:space="preserve"> </w:t>
      </w:r>
      <m:oMath>
        <m:r>
          <m:t>N</m:t>
        </m:r>
        <m:r>
          <m:rPr>
            <m:sty m:val="p"/>
          </m:rPr>
          <m:t>&lt;</m:t>
        </m:r>
        <m:r>
          <m:t>20</m:t>
        </m:r>
      </m:oMath>
      <w:r>
        <w:t xml:space="preserve">; Table S12).</w:t>
      </w:r>
    </w:p>
    <w:p>
      <w:pPr>
        <w:pStyle w:val="BodyText"/>
      </w:pPr>
      <w:r>
        <w:t xml:space="preserve">Boundary survival estimates can arise from finite sampling of discrete stage classes. Finer stage classes do not necessarily reduce these estimates and may leave fewer observations per class. Information sharing in fitted vital-rate models, such as those used to construct integral projection models, may reduce boundary estimates through smoothing rather than finer discretisation alone.</w:t>
      </w:r>
    </w:p>
    <w:bookmarkEnd w:id="32"/>
    <w:bookmarkStart w:id="33" w:name="X7f9bc76663c4cdccea08220fb8b2fd536e0535e"/>
    <w:p>
      <w:pPr>
        <w:pStyle w:val="Heading2"/>
      </w:pPr>
      <w:r>
        <w:t xml:space="preserve">S2.3 Does displacement increase with boundary survival structure?</w:t>
      </w:r>
    </w:p>
    <w:p>
      <w:pPr>
        <w:pStyle w:val="FirstParagraph"/>
      </w:pPr>
      <w:r>
        <w:t xml:space="preserve">Displacement magnitude increased with both measures of boundary-survival structure (Figure S3; Table S13). For shape, the absolute difference between the point estimate and the sampling-distribution median increased with the number of boundary survival stages (slope = 0.010, 95% CI [0.005, 0.016]) and with the proportion of individuals in boundary-survival stages (slope = 0.093, 95% CI [0.043, 0.143]). For mature life expectancy, the same pattern was evident on the</w:t>
      </w:r>
      <w:r>
        <w:t xml:space="preserve"> </w:t>
      </w:r>
      <m:oMath>
        <m:sSub>
          <m:e>
            <m:r>
              <m:rPr>
                <m:sty m:val="p"/>
              </m:rPr>
              <m:t>log</m:t>
            </m:r>
          </m:e>
          <m:sub>
            <m:r>
              <m:t>10</m:t>
            </m:r>
          </m:sub>
        </m:sSub>
      </m:oMath>
      <w:r>
        <w:t xml:space="preserve"> </w:t>
      </w:r>
      <w:r>
        <w:t xml:space="preserve">scale (number of boundary stages: slope = 0.062, 95% CI [0.029, 0.095]; proportion of individuals in boundary-survival stages: slope = 0.672, 95% CI [0.370, 0.974]). The fitted models explained a modest but non-trivial share of the among-matrix variation in displacement magnitude (</w:t>
      </w:r>
      <m:oMath>
        <m:sSup>
          <m:e>
            <m:r>
              <m:t>R</m:t>
            </m:r>
          </m:e>
          <m:sup>
            <m:r>
              <m:t>2</m:t>
            </m:r>
          </m:sup>
        </m:sSup>
        <m:r>
          <m:rPr>
            <m:sty m:val="p"/>
          </m:rPr>
          <m:t>=</m:t>
        </m:r>
        <m:r>
          <m:t>0.176</m:t>
        </m:r>
        <m:r>
          <m:rPr>
            <m:sty m:val="p"/>
          </m:rPr>
          <m:t>−</m:t>
        </m:r>
        <m:r>
          <m:t>0.242</m:t>
        </m:r>
      </m:oMath>
      <w:r>
        <w:t xml:space="preserve">). These associations are consistent with the proposed mechanism, but do not establish causality.</w:t>
      </w:r>
    </w:p>
    <w:bookmarkEnd w:id="33"/>
    <w:bookmarkStart w:id="34" w:name="Xca36f9ff4093d12ff246540ac5a05db4c7bd517"/>
    <w:p>
      <w:pPr>
        <w:pStyle w:val="Heading2"/>
      </w:pPr>
      <w:r>
        <w:t xml:space="preserve">S2.4 How sensitive are shape estimates to the truncation threshold?</w:t>
      </w:r>
    </w:p>
    <w:p>
      <w:pPr>
        <w:pStyle w:val="FirstParagraph"/>
      </w:pPr>
      <w:r>
        <w:t xml:space="preserve">In the 65 population-level entries for which shape was estimable under all three thresholds, the shape metric was highly stable to the quasi-stable-distribution truncation rule (Table S14; Figure S4). Relative to the 1% threshold used in the main analysis, the 0.5% threshold changed point estimates by a median absolute amount of 0.002 and sampling-distribution medians by 0.001. The more permissive 5% threshold produced somewhat larger but still modest shifts (median absolute changes 0.004 and 0.003, respectively), with only 2 point estimates changing sign relative to the 1% baseline. Those sign changes occurred only for populations whose baseline shape estimates were already very close to zero. These results indicate that shape estimates were generally stable across the thresholds tested. We did not refit the downstream regressions, so their sensitivity to threshold choice remains untested.</w:t>
      </w:r>
    </w:p>
    <w:bookmarkEnd w:id="34"/>
    <w:bookmarkStart w:id="35" w:name="X0b01ca79d9e4593467360b1d50abe8ce91f2738"/>
    <w:p>
      <w:pPr>
        <w:pStyle w:val="Heading2"/>
      </w:pPr>
      <w:r>
        <w:t xml:space="preserve">S2.5 Multisite robustness analysis in</w:t>
      </w:r>
      <w:r>
        <w:t xml:space="preserve"> </w:t>
      </w:r>
      <w:r>
        <w:rPr>
          <w:i/>
          <w:iCs/>
        </w:rPr>
        <w:t xml:space="preserve">Astragalus scaphoides</w:t>
      </w:r>
    </w:p>
    <w:p>
      <w:pPr>
        <w:pStyle w:val="FirstParagraph"/>
      </w:pPr>
      <w:r>
        <w:t xml:space="preserve">For recruitment, applying the analysis 2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than differences between model formulations (Figure S5). Across sites, we had 9-11 years of annual demographic records, with 8-10 years retained for model fitting after filtering (0-3 years excluded;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(Table S8). Monthly-lag coefficient profiles were likewise highly concordant between formulations, with within-site correlations of posterior medians ranging from 0.992 to 0.997 and a maximum lag-specific median difference of 0.042 (Figure S5). These results support the main-text conclusion from analysis 2 that climate-effect inference can be robust to transition-rate sampling uncertainty in this empirical setting.</w:t>
      </w:r>
    </w:p>
    <w:bookmarkEnd w:id="35"/>
    <w:bookmarkEnd w:id="36"/>
    <w:bookmarkStart w:id="37"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95% credible intervals from reconstructed posterior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1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0.770</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Davison; Jacquemyn; Adriaens; Honnay; de Kroon; Tuljapurkar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10.1111/j.1365-2745.2009.01611.x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Anthyllis_vulneraria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Fortini; Zarin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10.1016/j.foreco.2010.11.007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Callycophyllum_spruceanum; Carapa_guianensis; Licania_heteromorpha; Licaria_mahuba; Mora_paraensis; Platymiscium_filipes; Virola_surinamensis</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Conserv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Bullock; White; Prudhomme; Tansey; Perea; Hooftman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10.1111/j.1365-2745.2011.01910.x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Cirsium_acaule_2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Che-Castaldo; Inouye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10.1890/ES11-00263.1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Frasera_speciosa_2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Chen; Visser; Jongejans; van Breugel; Zuidema; Kassim; de Kroon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10.1111/j.1365-2745.2011.01825.x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Shorea_leprosula</w:t>
            </w:r>
          </w:p>
        </w:tc>
      </w:tr>
      <w:tr>
        <w:trPr>
          <w:trHeight w:val="62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Conserv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 Phyllanthus_emblica_3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Boswellia_papyrifera</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Conserv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Ehrlén; Olesen; Braza; García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Berry; Natalie L Cleavitt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10.1002/1438-390X.12092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Platanthera_macrophylla_; Platanthera_orbiculata_</w:t>
            </w:r>
          </w:p>
        </w:tc>
      </w:tr>
    </w:tbl>
    <w:p>
      <w:r>
        <w:br w:type="page"/>
      </w:r>
    </w:p>
    <w:p>
      <w:pPr>
        <w:pStyle w:val="BodyText"/>
      </w:pPr>
      <w:r>
        <w:t xml:space="preserve">Table S7. Multisite robustness-analysis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Multisite robustness-analysis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 “No weights” treats annual stage-specific survival proportions equally, whereas “SSD weights” 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Multisite robustness-analysis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p>
      <w:pPr>
        <w:pStyle w:val="BodyText"/>
      </w:pPr>
      <w:r>
        <w:t xml:space="preserve">Table S11. Comparison of screened target studies that were included versus excluded under the current reproducible COMPADRE-based screen. Numeric entries are study-level means ± SD; life-form entries are numbers of studies with percentages in parentheses. Included studies have a higher mean proportion of boundary survival estimates, especially estimates of exactly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840"/>
        <w:gridCol w:w="1510"/>
        <w:gridCol w:w="1510"/>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Excluded</w:t>
            </w:r>
          </w:p>
        </w:tc>
      </w:tr>
      <w:tr>
        <w:trPr>
          <w:trHeight w:val="605"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Studies, 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5.92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6.68 ± 5.05</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stage-specific survival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 ± 0.15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 ± 0.09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equal to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 ± 0.15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survival estimates at the boundary (0 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 ± 0.17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 (58.0%)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 (11.6%)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 (18.8%)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Dominant life form: Palm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 (8.7%)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 (5.8%)</w:t>
            </w:r>
          </w:p>
        </w:tc>
      </w:tr>
    </w:tbl>
    <w:p>
      <w:r>
        <w:br w:type="page"/>
      </w:r>
    </w:p>
    <w:p>
      <w:pPr>
        <w:pStyle w:val="BodyText"/>
      </w:pPr>
      <w:r>
        <w:t xml:space="preserve">Table S12. Distribution of boundary survival estimates and small stage-specific sample sizes across analysis 1 population-level MPM entries, grouped by the COMPADRE life-form categories available for these studies and by broad matrix-dimension class. Percentages give the share of population entries with at least one boundary survival estimate or at least one stage with sample size below the stated threshold. Woody life-form categories are included for completeness but are sparsely represented in this subset.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73"/>
        <w:gridCol w:w="2563"/>
        <w:gridCol w:w="2416"/>
        <w:gridCol w:w="3871"/>
        <w:gridCol w:w="2960"/>
        <w:gridCol w:w="2960"/>
        <w:gridCol w:w="2734"/>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boundary survival estimate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20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Any stage with N &lt; 50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 minimum stage N</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Epiphyte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29.0</w:t>
            </w:r>
          </w:p>
        </w:tc>
      </w:tr>
      <w:tr>
        <w:trPr>
          <w:trHeight w:val="61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Herbaceous perennial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66.3</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Palm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144.7</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Shrub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190.0</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Succulent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85.4</w:t>
            </w:r>
          </w:p>
        </w:tc>
      </w:tr>
      <w:tr>
        <w:trPr>
          <w:trHeight w:val="575"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Tree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w:t>
            </w:r>
          </w:p>
        </w:tc>
      </w:tr>
      <w:tr>
        <w:trPr>
          <w:trHeight w:val="61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83.2</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Matrix dimension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43.6</w:t>
            </w:r>
          </w:p>
        </w:tc>
      </w:tr>
    </w:tbl>
    <w:p>
      <w:r>
        <w:br w:type="page"/>
      </w:r>
    </w:p>
    <w:p>
      <w:pPr>
        <w:pStyle w:val="BodyText"/>
      </w:pPr>
      <w:r>
        <w:t xml:space="preserve">Table S13. Linear models relating displacement magnitude in analysis 1 to boundary-survival predictors. Displacement is defined as the absolute difference between the point estimate and the median of the sampling distribution; life expectancy displacement is modelled on the log10 scale. Positive slopes indicate greater point-estimate displacement in matrices with more boundary survival structure.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236"/>
        <w:gridCol w:w="5498"/>
        <w:gridCol w:w="2416"/>
        <w:gridCol w:w="973"/>
        <w:gridCol w:w="1756"/>
        <w:gridCol w:w="1206"/>
        <w:gridCol w:w="961"/>
      </w:tblGrid>
      <w:tr>
        <w:trPr>
          <w:trHeight w:val="619"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R²</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[0.005, 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 displacement |point -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Number of boundary survival stages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[0.029, 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0.177</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displacement |log10(point) - log10(median)|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Proportion of individuals in boundary-survival stages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[0.370, 0.974]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&lt; 1e-04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0.242</w:t>
            </w:r>
          </w:p>
        </w:tc>
      </w:tr>
    </w:tbl>
    <w:p>
      <w:r>
        <w:br w:type="page"/>
      </w:r>
    </w:p>
    <w:p>
      <w:pPr>
        <w:pStyle w:val="BodyText"/>
      </w:pPr>
      <w:r>
        <w:t xml:space="preserve">Table S14. Sensitivity of analysis 1 shape estimates to the quasi-stable-distribution truncation threshold used when calculating the shape metric. Comparisons are against the 1% threshold used in the main analysis, summarising the stability of shape estimates across the thresholds tested; downstream regressions were not refitted.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2416"/>
        <w:gridCol w:w="3272"/>
        <w:gridCol w:w="3191"/>
        <w:gridCol w:w="3912"/>
        <w:gridCol w:w="2885"/>
        <w:gridCol w:w="3484"/>
        <w:gridCol w:w="2184"/>
        <w:gridCol w:w="1475"/>
        <w:gridCol w:w="1646"/>
      </w:tblGrid>
      <w:tr>
        <w:trPr>
          <w:trHeight w:val="62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 entries,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Correlation of point estimates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95th percentile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Max |ΔS| (point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|ΔS| (sampling 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Sign changes in 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Δq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Range of Δq</w:t>
            </w:r>
          </w:p>
        </w:tc>
      </w:tr>
      <w:tr>
        <w:trPr>
          <w:trHeight w:val="5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 vs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 to 54</w:t>
            </w:r>
          </w:p>
        </w:tc>
      </w:tr>
      <w:tr>
        <w:trPr>
          <w:trHeight w:val="56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 vs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-126 to 0</w:t>
            </w:r>
          </w:p>
        </w:tc>
      </w:tr>
    </w:tbl>
    <w:p>
      <w:r>
        <w:br w:type="page"/>
      </w:r>
    </w:p>
    <w:bookmarkEnd w:id="37"/>
    <w:bookmarkStart w:id="53" w:name="supplementary-figures"/>
    <w:p>
      <w:pPr>
        <w:pStyle w:val="Heading1"/>
      </w:pPr>
      <w:r>
        <w:t xml:space="preserve">Supplementary Figures</w:t>
      </w:r>
    </w:p>
    <w:p>
      <w:pPr>
        <w:pStyle w:val="FirstParagraph"/>
      </w:pPr>
      <w:r>
        <w:t xml:space="preserve">Figure S1.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pPr>
        <w:pStyle w:val="BodyText"/>
      </w:pPr>
      <w:r>
        <w:drawing>
          <wp:inline>
            <wp:extent cx="5727700" cy="3665728"/>
            <wp:effectExtent b="0" l="0" r="0" t="0"/>
            <wp:docPr descr="" title="" id="39" name="Picture"/>
            <a:graphic>
              <a:graphicData uri="http://schemas.openxmlformats.org/drawingml/2006/picture">
                <pic:pic>
                  <pic:nvPicPr>
                    <pic:cNvPr descr="sampling_uncertainty_mpm_supplement_files/d8529a6b665ec0f3e10c96d308c29bc378c62062.png" id="40" name="Picture"/>
                    <pic:cNvPicPr>
                      <a:picLocks noChangeArrowheads="1" noChangeAspect="1"/>
                    </pic:cNvPicPr>
                  </pic:nvPicPr>
                  <pic:blipFill>
                    <a:blip r:embed="rId38"/>
                    <a:stretch>
                      <a:fillRect/>
                    </a:stretch>
                  </pic:blipFill>
                  <pic:spPr bwMode="auto">
                    <a:xfrm>
                      <a:off x="0" y="0"/>
                      <a:ext cx="5727700" cy="3665728"/>
                    </a:xfrm>
                    <a:prstGeom prst="rect">
                      <a:avLst/>
                    </a:prstGeom>
                    <a:noFill/>
                    <a:ln w="9525">
                      <a:noFill/>
                      <a:headEnd/>
                      <a:tailEnd/>
                    </a:ln>
                  </pic:spPr>
                </pic:pic>
              </a:graphicData>
            </a:graphic>
          </wp:inline>
        </w:drawing>
      </w:r>
    </w:p>
    <w:p>
      <w:r>
        <w:br w:type="page"/>
      </w:r>
    </w:p>
    <w:p>
      <w:pPr>
        <w:pStyle w:val="BodyText"/>
      </w:pPr>
      <w:r>
        <w:t xml:space="preserve">Figure S2. Illustration of survivorship trajectories under boundary survival transitions. Age/time is shown in years. These cases can induce artefactual trajectory shapes and help explain mismatches between point estimates and uncertainty-aware summaries.</w:t>
      </w:r>
    </w:p>
    <w:p>
      <w:pPr>
        <w:pStyle w:val="BodyText"/>
      </w:pPr>
      <w:r>
        <w:drawing>
          <wp:inline>
            <wp:extent cx="5727700" cy="5498592"/>
            <wp:effectExtent b="0" l="0" r="0" t="0"/>
            <wp:docPr descr="" title="" id="42" name="Picture"/>
            <a:graphic>
              <a:graphicData uri="http://schemas.openxmlformats.org/drawingml/2006/picture">
                <pic:pic>
                  <pic:nvPicPr>
                    <pic:cNvPr descr="sampling_uncertainty_mpm_supplement_files/14ef09e30f575359848c2835f63766b001ca77ef.png" id="43" name="Picture"/>
                    <pic:cNvPicPr>
                      <a:picLocks noChangeArrowheads="1" noChangeAspect="1"/>
                    </pic:cNvPicPr>
                  </pic:nvPicPr>
                  <pic:blipFill>
                    <a:blip r:embed="rId41"/>
                    <a:stretch>
                      <a:fillRect/>
                    </a:stretch>
                  </pic:blipFill>
                  <pic:spPr bwMode="auto">
                    <a:xfrm>
                      <a:off x="0" y="0"/>
                      <a:ext cx="5727700" cy="5498592"/>
                    </a:xfrm>
                    <a:prstGeom prst="rect">
                      <a:avLst/>
                    </a:prstGeom>
                    <a:noFill/>
                    <a:ln w="9525">
                      <a:noFill/>
                      <a:headEnd/>
                      <a:tailEnd/>
                    </a:ln>
                  </pic:spPr>
                </pic:pic>
              </a:graphicData>
            </a:graphic>
          </wp:inline>
        </w:drawing>
      </w:r>
    </w:p>
    <w:p>
      <w:r>
        <w:br w:type="page"/>
      </w:r>
    </w:p>
    <w:p>
      <w:pPr>
        <w:pStyle w:val="BodyText"/>
      </w:pPr>
      <w:r>
        <w:t xml:space="preserve">Figure S3. Displacement magnitude in analysis 1 increases with boundary-survival structure. Each point is a population-level matrix. Panels compare the absolute difference between the point estimate and the sampling-distribution median against the number of boundary survival stages and the proportion of sampled individuals in those boundary stages, showing that matrices with more boundary-survival structure tend to have larger point-estimate displacement.</w:t>
      </w:r>
    </w:p>
    <w:p>
      <w:pPr>
        <w:pStyle w:val="BodyText"/>
      </w:pPr>
      <w:r>
        <w:drawing>
          <wp:inline>
            <wp:extent cx="5727700" cy="4455476"/>
            <wp:effectExtent b="0" l="0" r="0" t="0"/>
            <wp:docPr descr="" title="" id="45" name="Picture"/>
            <a:graphic>
              <a:graphicData uri="http://schemas.openxmlformats.org/drawingml/2006/picture">
                <pic:pic>
                  <pic:nvPicPr>
                    <pic:cNvPr descr="sampling_uncertainty_mpm_supplement_files/7a07c06ddb7e22240bd267f312370e06b58b05ad.png" id="46" name="Picture"/>
                    <pic:cNvPicPr>
                      <a:picLocks noChangeArrowheads="1" noChangeAspect="1"/>
                    </pic:cNvPicPr>
                  </pic:nvPicPr>
                  <pic:blipFill>
                    <a:blip r:embed="rId44"/>
                    <a:stretch>
                      <a:fillRect/>
                    </a:stretch>
                  </pic:blipFill>
                  <pic:spPr bwMode="auto">
                    <a:xfrm>
                      <a:off x="0" y="0"/>
                      <a:ext cx="5727700" cy="4455476"/>
                    </a:xfrm>
                    <a:prstGeom prst="rect">
                      <a:avLst/>
                    </a:prstGeom>
                    <a:noFill/>
                    <a:ln w="9525">
                      <a:noFill/>
                      <a:headEnd/>
                      <a:tailEnd/>
                    </a:ln>
                  </pic:spPr>
                </pic:pic>
              </a:graphicData>
            </a:graphic>
          </wp:inline>
        </w:drawing>
      </w:r>
    </w:p>
    <w:p>
      <w:r>
        <w:br w:type="page"/>
      </w:r>
    </w:p>
    <w:p>
      <w:pPr>
        <w:pStyle w:val="BodyText"/>
      </w:pPr>
      <w:r>
        <w:t xml:space="preserve">Figure S4. Sensitivity of analysis 1 point estimates of mortality-trajectory shape to the quasi-stable-distribution truncation threshold. Point estimates calculated with 0.5% and 5% thresholds are plotted against the 1% threshold used in the main analysis, showing that most values lie close to the 1:1 line and that threshold choice makes little difference except for a small number of near-zero cases.</w:t>
      </w:r>
    </w:p>
    <w:p>
      <w:pPr>
        <w:pStyle w:val="BodyText"/>
      </w:pPr>
      <w:r>
        <w:drawing>
          <wp:inline>
            <wp:extent cx="5727700" cy="2862502"/>
            <wp:effectExtent b="0" l="0" r="0" t="0"/>
            <wp:docPr descr="" title="" id="48" name="Picture"/>
            <a:graphic>
              <a:graphicData uri="http://schemas.openxmlformats.org/drawingml/2006/picture">
                <pic:pic>
                  <pic:nvPicPr>
                    <pic:cNvPr descr="sampling_uncertainty_mpm_supplement_files/f81ebd71ddc3db9e22297ad2a98c3b5420b48bc0.png" id="49" name="Picture"/>
                    <pic:cNvPicPr>
                      <a:picLocks noChangeArrowheads="1" noChangeAspect="1"/>
                    </pic:cNvPicPr>
                  </pic:nvPicPr>
                  <pic:blipFill>
                    <a:blip r:embed="rId47"/>
                    <a:stretch>
                      <a:fillRect/>
                    </a:stretch>
                  </pic:blipFill>
                  <pic:spPr bwMode="auto">
                    <a:xfrm>
                      <a:off x="0" y="0"/>
                      <a:ext cx="5727700" cy="2862502"/>
                    </a:xfrm>
                    <a:prstGeom prst="rect">
                      <a:avLst/>
                    </a:prstGeom>
                    <a:noFill/>
                    <a:ln w="9525">
                      <a:noFill/>
                      <a:headEnd/>
                      <a:tailEnd/>
                    </a:ln>
                  </pic:spPr>
                </pic:pic>
              </a:graphicData>
            </a:graphic>
          </wp:inline>
        </w:drawing>
      </w:r>
    </w:p>
    <w:p>
      <w:r>
        <w:br w:type="page"/>
      </w:r>
    </w:p>
    <w:p>
      <w:pPr>
        <w:pStyle w:val="BodyText"/>
      </w:pPr>
      <w:r>
        <w:t xml:space="preserve">Figure S5. Multisite robustness analysis for</w:t>
      </w:r>
      <w:r>
        <w:t xml:space="preserve"> </w:t>
      </w:r>
      <w:r>
        <w:rPr>
          <w:i/>
          <w:iCs/>
        </w:rPr>
        <w:t xml:space="preserve">Astragalus scaphoides</w:t>
      </w:r>
      <w:r>
        <w:t xml:space="preserve">. Columns show Haynes Creek (A, D, G), McDevitt Creek (B, E, H), and Sheep Corral Gulch (C, F, I). Rows show monthly-lag temperature coefficients (A-C), recruitment-temperature fits (D-F), and stage-specific survival-temperature coefficients (G-I) for point-estimate (purple) and uncertainty-aware (green) formulations. Recruitment is seedlings per reproductive plant, and stage-specific survival coefficients are on the logit scale (β). Survival intervals are 95% Wald confidence intervals; non-estimable stages are labelled rather than plotted. Differences between survival models reflect weighting and dispersion assumptions as well as the use of sample sizes. Recruitment results are closely aligned between formulations within sites.</w:t>
      </w:r>
    </w:p>
    <w:p>
      <w:pPr>
        <w:pStyle w:val="BodyText"/>
      </w:pPr>
      <w:r>
        <w:drawing>
          <wp:inline>
            <wp:extent cx="5727700" cy="4773682"/>
            <wp:effectExtent b="0" l="0" r="0" t="0"/>
            <wp:docPr descr="" title="" id="51" name="Picture"/>
            <a:graphic>
              <a:graphicData uri="http://schemas.openxmlformats.org/drawingml/2006/picture">
                <pic:pic>
                  <pic:nvPicPr>
                    <pic:cNvPr descr="sampling_uncertainty_mpm_supplement_files/07961aeadb3b8be6075e27c19a217a966c209c17.png" id="52" name="Picture"/>
                    <pic:cNvPicPr>
                      <a:picLocks noChangeArrowheads="1" noChangeAspect="1"/>
                    </pic:cNvPicPr>
                  </pic:nvPicPr>
                  <pic:blipFill>
                    <a:blip r:embed="rId50"/>
                    <a:stretch>
                      <a:fillRect/>
                    </a:stretch>
                  </pic:blipFill>
                  <pic:spPr bwMode="auto">
                    <a:xfrm>
                      <a:off x="0" y="0"/>
                      <a:ext cx="5727700" cy="4773682"/>
                    </a:xfrm>
                    <a:prstGeom prst="rect">
                      <a:avLst/>
                    </a:prstGeom>
                    <a:noFill/>
                    <a:ln w="9525">
                      <a:noFill/>
                      <a:headEnd/>
                      <a:tailEnd/>
                    </a:ln>
                  </pic:spPr>
                </pic:pic>
              </a:graphicData>
            </a:graphic>
          </wp:inline>
        </w:drawing>
      </w:r>
    </w:p>
    <w:p>
      <w:r>
        <w:br w:type="page"/>
      </w:r>
    </w:p>
    <w:bookmarkEnd w:id="53"/>
    <w:sectPr w:rsidR="00445ECF" w:rsidRPr="000A5324" w:rsidSect="001B4436">
      <w:footerReference r:id="rId7" w:type="even"/>
      <w:footerReference r:id="rId8"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2026-09-21T19:32:38Z</dcterms:created>
  <dcterms:modified xsi:type="dcterms:W3CDTF">2026-09-21T19:32:38Z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When does sampling uncertainty matter in matrix population models? Evidence from published projection matrices</vt:lpwstr>
  </property>
</Properties>
</file>