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49.png" ContentType="image/png"/>
  <Override PartName="/word/media/rId95.png" ContentType="image/png"/>
  <Override PartName="/word/media/rId140.png" ContentType="image/png"/>
  <Override PartName="/word/media/rId99.png" ContentType="image/png"/>
  <Override PartName="/word/media/rId107.png" ContentType="image/png"/>
  <Override PartName="/word/media/rId143.png" ContentType="image/png"/>
  <Override PartName="/word/media/rId103.png" ContentType="image/png"/>
  <Override PartName="/word/media/rId91.png" ContentType="image/png"/>
  <Override PartName="/word/media/rId111.png" ContentType="image/png"/>
  <Override PartName="/word/media/rId137.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17"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17"/>
    <w:bookmarkStart w:id="18"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18"/>
    <w:bookmarkStart w:id="20" w:name="corresponding-author"/>
    <w:p>
      <w:pPr>
        <w:pStyle w:val="Heading1"/>
      </w:pPr>
      <w:r>
        <w:t xml:space="preserve">Corresponding author</w:t>
      </w:r>
    </w:p>
    <w:p>
      <w:pPr>
        <w:pStyle w:val="FirstParagraph"/>
      </w:pPr>
      <w:r>
        <w:t xml:space="preserve">* Owen R. Jones,</w:t>
      </w:r>
      <w:r>
        <w:t xml:space="preserve"> </w:t>
      </w:r>
      <w:hyperlink r:id="rId19">
        <w:r>
          <w:rPr>
            <w:rStyle w:val="Hyperlink"/>
          </w:rPr>
          <w:t xml:space="preserve">jones@biology.sdu.dk</w:t>
        </w:r>
      </w:hyperlink>
    </w:p>
    <w:p>
      <w:r>
        <w:br w:type="page"/>
      </w:r>
    </w:p>
    <w:bookmarkEnd w:id="20"/>
    <w:bookmarkStart w:id="21"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(i) a multi-species comparative analysis of life expectancy-shape relationships, (ii) a single-species time-series analysis of climate-demography effects, and (iii) a simulation study with known truth that compares how models account for count sampling and year-to-year variation.</w:t>
      </w:r>
    </w:p>
    <w:p>
      <w:pPr>
        <w:numPr>
          <w:ilvl w:val="0"/>
          <w:numId w:val="1001"/>
        </w:numPr>
      </w:pPr>
      <w:r>
        <w:t xml:space="preserve">The effects of sampling uncertainty were strongly trait-dependent. Point estimates and posterior means had similar dispersion for integrated demographic metrics such as population growth rate, but point estimates were substantially more dispersed for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 whereas the simulation study showed that point-estimate count models can become overconfident even when bias remains low.</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the simulation also shows that omitting year-to-year variation can produce overconfident interval estimates in count-based models.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conjugate priors; estimation bias; parameter uncertainty; stage-structured models; sensitivity analysis; plant demography; life history traits</w:t>
      </w:r>
    </w:p>
    <w:p>
      <w:r>
        <w:br w:type="page"/>
      </w:r>
    </w:p>
    <w:bookmarkEnd w:id="21"/>
    <w:bookmarkStart w:id="22" w:name="introduction"/>
    <w:p>
      <w:pPr>
        <w:pStyle w:val="Heading1"/>
      </w:pPr>
      <w:r>
        <w:t xml:space="preserve">Introduction</w:t>
      </w:r>
    </w:p>
    <w:p>
      <w:pPr>
        <w:pStyle w:val="FirstParagraph"/>
      </w:pPr>
      <w:r>
        <w:t xml:space="preserve">Sampling uncertainty is a widely recognised, inherent component of demographic analyses (Caswell 2001). This uncertainty, stemming from the sampling of the population of interest, proliferates across almost all estimates of individual demographic rates (e.g. survival and reproduction), through studies based on raw data and single species, up to large comparative studies.</w:t>
      </w:r>
    </w:p>
    <w:p>
      <w:pPr>
        <w:pStyle w:val="BodyText"/>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population- or species-level quantities computed from matrix population models (MPMs). These span life-history traits such as generation time, transient descriptors such as reactivity, and integrated metrics such as population growth rate, through to traits governed by long-term survivorship or tail behaviour, such as life expectancy and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Large comparative analyses are not the only analysis that can be impacted by omission of sampling uncertainty. Another key area where sampling uncertainty could have a substantial impact is in linking demographic rates to abiotic drivers. When incorporating drivers, such as climate, in MPM studies researchers typically regress an annual demographic rate (e.g. recruitment) against a climate variable (e.g. spring temperature) to estimate how strongly climate drives dynamics. A key challenge with this approach is that the vital rate estimates in the regression are themselves noisy. In linear regression, independent, additive, mean-zero error in the response reduces precision but does not itself bias the slope towards zero. Its effects in models of demographic rates depend on the error structure and model formulation; whether explicitly accounting for sampling uncertainty materially changes climate-response inference is therefore an empirical question, which we address here.</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then using these parameter estimates, which themselves carry sampling uncertainty inherited from the underlying transition rates, or further derivations of them, as inputs to a statistical model that tests the relationship of interest. Uncertainty must therefore propagate along a chain, from the sampled transition rates, through the derived parameters, to the final inference.</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combine a comparative analysis of lifetime-integrating traits across populations and species (analysis 1), a within-species analysis of climate effects on demographic rates (analysis 2), and a simulation assessing estimation bias and interval coverage against known climate effects (analysis 3). A multisite extension of analysis 2 using</w:t>
      </w:r>
      <w:r>
        <w:t xml:space="preserve"> </w:t>
      </w:r>
      <w:r>
        <w:rPr>
          <w:i/>
          <w:iCs/>
        </w:rPr>
        <w:t xml:space="preserve">Astragalus scaphoides</w:t>
      </w:r>
      <w:r>
        <w:t xml:space="preserve"> </w:t>
      </w:r>
      <w:r>
        <w:t xml:space="preserve">provides a supplementary robustness check. The focal quantities are mature life expectancy, the shape of the mortality trajectory, log population growth rate, and recruitment-climate regression coefficients. Because COMPADRE does not routinely include transition-level sample sizes, our empirical analyses are restricted to the subset for which these data could be assembled (695 MPMs from 31 studies; details in Methods). We use these analyses to identify diagnostic features that help researchers assess robustness in their own work. We also provide a practical diagnostic checklist for COMPADRE users.</w:t>
      </w:r>
    </w:p>
    <w:bookmarkEnd w:id="22"/>
    <w:bookmarkStart w:id="32" w:name="methods"/>
    <w:p>
      <w:pPr>
        <w:pStyle w:val="Heading1"/>
      </w:pPr>
      <w:r>
        <w:t xml:space="preserve">Methods</w:t>
      </w:r>
    </w:p>
    <w:bookmarkStart w:id="23"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 “mean MPM” calculated as an element-by-element arithmetic mean across multiple years and/or sites.</w:t>
      </w:r>
    </w:p>
    <w:bookmarkEnd w:id="23"/>
    <w:bookmarkStart w:id="24" w:name="target-studies"/>
    <w:p>
      <w:pPr>
        <w:pStyle w:val="Heading2"/>
      </w:pPr>
      <w:r>
        <w:t xml:space="preserve">Target studies</w:t>
      </w:r>
    </w:p>
    <w:p>
      <w:pPr>
        <w:pStyle w:val="FirstParagraph"/>
      </w:pPr>
      <w:r>
        <w:t xml:space="preserve">We used an earlier version of COMPADRE to define a target-study screen based on the following criteria: studies published from 2010 onwards; species of common perennial growth forms (herbaceous, shrub, tree, palm, and succulent); wild populations not subjected to experimental treatments; and MPMs with three or more stage classes and a one-year projection interval. Re-running that screen with COMPADRE version 6.26.3.0 (created Mar_11_2026) yields 92 post-2010 target studies. Of these, 23 are represented in the current final dataset used here; most exclusions reflected insufficient reporting of transition-specific sample sizes, and a small number used estimation methods incompatible with our uncertainty-reconstruction approach (e.g. mark-recapture or multi-stage vital rate products). Three additional post-2010 studies in the final dataset (</w:t>
      </w:r>
      <w:r>
        <w:rPr>
          <w:i/>
          <w:iCs/>
        </w:rPr>
        <w:t xml:space="preserve">Paeonia officinalis</w:t>
      </w:r>
      <w:r>
        <w:t xml:space="preserve">,</w:t>
      </w:r>
      <w:r>
        <w:t xml:space="preserve"> </w:t>
      </w:r>
      <w:r>
        <w:rPr>
          <w:i/>
          <w:iCs/>
        </w:rPr>
        <w:t xml:space="preserve">Tillandsia butzii</w:t>
      </w:r>
      <w:r>
        <w:t xml:space="preserve">, and</w:t>
      </w:r>
      <w:r>
        <w:t xml:space="preserve"> </w:t>
      </w:r>
      <w:r>
        <w:rPr>
          <w:i/>
          <w:iCs/>
        </w:rPr>
        <w:t xml:space="preserve">Lantana camara</w:t>
      </w:r>
      <w:r>
        <w:t xml:space="preserve">) no longer satisfy the current metadata-based screen, and we also retained 5 pre-2010 studies that had previously been assembled on the basis of temporal replication (at least 4 annual matrices). The requirement of at least 4 annual matrices applied only to the 5 pre-2010 studies added to support the time-series analyses; it was not a selection criterion for the full 31-study dataset used across all analyses. Within the reproducible post-2010 screen, included and excluded studies were broadly similar in matrix dimension, dominant life form, and mean stage-specific survival, but included studies had a higher mean proportion of boundary survival estimates, especially estimates of exactly 1 (Table S11). This over-representation may favour detection of boundary-related sensitivity and limits generalisation to all screened studies. The 23 screen-overlapping studies yielded 374 MPMs for 84 populations of 24 species; the final dataset comprised 31 studies representing 695 MPMs for 132 populations of 30 species.</w:t>
      </w:r>
    </w:p>
    <w:bookmarkEnd w:id="24"/>
    <w:bookmarkStart w:id="25"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r>
            <m:rPr>
              <m:sty m:val="p"/>
            </m:rPr>
            <m:t>(</m:t>
          </m:r>
          <m:r>
            <m:t>1</m:t>
          </m:r>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r>
            <m:rPr>
              <m:sty m:val="p"/>
            </m:rPr>
            <m:t>(</m:t>
          </m:r>
          <m:r>
            <m:t>2</m:t>
          </m:r>
          <m:r>
            <m:rPr>
              <m:sty m:val="p"/>
            </m:rPr>
            <m:t>)</m:t>
          </m:r>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decomposed into lower-level vital rates (e.g. flowers per plant, seeds per fruit, and germination probability) estimated from separate samples, or transition rates may be fitted with models that partially pool estimates across stage classes, sites, or years, as in hierarchical vital-rate models and integral projection models (IPMs). Uncertainty in such models can differ from the simple count-based setting considered here: partial pooling often reduces the variance of weakly informed estimates but can induce stronger correlations across transitions, so uncertainty should ideally be propagated from the joint posterior of the fitted model. Our reconstructions therefore approximate the uncertainty available to a secondary user of the published matrix and its sample-size information, rather than the full joint uncertainty from the original fitted model.</w:t>
      </w:r>
    </w:p>
    <w:bookmarkEnd w:id="25"/>
    <w:bookmarkStart w:id="26"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We reconstruct uncertainty using direct draws from conjugate posterior distributions, rather than a parametric bootstrap: 2,000 draws per MPM for the illustrative example and 1,000 for analysis 1. Hereafter, “sampling distributions” refers to these reconstructed posterior uncertainty distributions. Survival-related transitions are drawn jointly within each origin-stage column using a Dirichlet prior with all concentration parameters equal to 1, including death; reproductive rates use independent flat priors on the non-negative rate scale (Supplementary Methods section S1.1).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Use of a Poisson distribution for fecundity might under-capture overdispersion in species with highly variable fecundity.</w:t>
      </w:r>
    </w:p>
    <w:bookmarkEnd w:id="26"/>
    <w:bookmarkStart w:id="31" w:name="analyses"/>
    <w:p>
      <w:pPr>
        <w:pStyle w:val="Heading2"/>
      </w:pPr>
      <w:r>
        <w:t xml:space="preserve">Analyses</w:t>
      </w:r>
    </w:p>
    <w:p>
      <w:pPr>
        <w:pStyle w:val="FirstParagraph"/>
      </w:pPr>
      <w:r>
        <w:t xml:space="preserve">This conjugate posterior approach avoids MCMC and, unlike a bootstrap of the reported point estimates, permits uncertainty in allowed outcomes that were not observed, including death when all sampled individuals survived, so it does not force every draw to reproduce boundary point estimates; the resulting uncertainty depends on the specified priors and allowed-transition structure. Zero-valued matrix entries are fixed at 0 unless included in the allowed-transition mask, so the implementation does not generally distinguish sampling zeros from structural zeros and may understate uncertainty in unobserved transitions. When a stage sample size is missing, the published transition column is retained unchanged; when it is explicitly zero, the corresponding column is returned as missing rather than treated as a structural zero. Such columns therefore contribute no reconstructed sampling variation, and zero-sample-size columns yield no usable posterior draws.</w:t>
      </w:r>
    </w:p>
    <w:bookmarkStart w:id="27"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 ‘B’;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denotes death as the complementary non-survival outcome for that origin stage. In the posterior sampling, death probability is drawn jointly with the living-transition probabilities in each</w:t>
      </w:r>
      <w:r>
        <w:t xml:space="preserve"> </w:t>
      </w:r>
      <m:oMath>
        <m:r>
          <m:t>U</m:t>
        </m:r>
      </m:oMath>
      <w:r>
        <w:t xml:space="preserve">-column, but only the living-stage components are written back into the simulated</w:t>
      </w:r>
      <w:r>
        <w:t xml:space="preserve"> </w:t>
      </w:r>
      <m:oMath>
        <m:r>
          <m:t>U</m:t>
        </m:r>
      </m:oMath>
      <w:r>
        <w:t xml:space="preserve"> </w:t>
      </w:r>
      <w:r>
        <w:t xml:space="preserve">matrix.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The count likelihoods used to reconstruct transition-rate uncertainty are:</w:t>
      </w:r>
    </w:p>
    <w:p>
      <w:pPr>
        <w:pStyle w:val="BodyText"/>
      </w:pPr>
      <m:oMathPara>
        <m:oMathParaPr>
          <m:jc m:val="center"/>
        </m:oMathParaPr>
        <m:oMath>
          <m:r>
            <m:rPr>
              <m:sty m:val="p"/>
            </m:rPr>
            <m:t>(</m:t>
          </m:r>
          <m:r>
            <m:t>12</m:t>
          </m:r>
          <m:r>
            <m:rPr>
              <m:sty m:val="p"/>
            </m:rPr>
            <m:t>,</m:t>
          </m:r>
          <m:r>
            <m:t>2</m:t>
          </m:r>
          <m:r>
            <m:rPr>
              <m:sty m:val="p"/>
            </m:rPr>
            <m:t>)</m:t>
          </m:r>
          <m:r>
            <m:rPr>
              <m:sty m:val="p"/>
            </m:rPr>
            <m:t>∼</m:t>
          </m:r>
          <m:r>
            <m:rPr>
              <m:nor/>
              <m:sty m:val="p"/>
            </m:rPr>
            <m:t>Multinomial</m:t>
          </m:r>
          <m:r>
            <m:rPr>
              <m:sty m:val="p"/>
            </m:rPr>
            <m:t>(</m:t>
          </m:r>
          <m:sSub>
            <m:e>
              <m:r>
                <m:t>U</m:t>
              </m:r>
            </m:e>
            <m:sub>
              <m:r>
                <m:t>21</m:t>
              </m:r>
            </m:sub>
          </m:sSub>
          <m:r>
            <m:rPr>
              <m:sty m:val="p"/>
            </m:rPr>
            <m:t>,</m:t>
          </m:r>
          <m:sSub>
            <m:e>
              <m:r>
                <m:t>U</m:t>
              </m:r>
            </m:e>
            <m:sub>
              <m:r>
                <m:t>d</m:t>
              </m:r>
              <m:r>
                <m:t>1</m:t>
              </m:r>
            </m:sub>
          </m:sSub>
          <m:r>
            <m:rPr>
              <m:sty m:val="p"/>
            </m:rPr>
            <m:t>)</m:t>
          </m:r>
          <m:r>
            <m:rPr>
              <m:sty m:val="p"/>
            </m:rPr>
            <m:t>,</m:t>
          </m:r>
        </m:oMath>
      </m:oMathPara>
    </w:p>
    <w:p>
      <w:pPr>
        <w:pStyle w:val="FirstParagraph"/>
      </w:pPr>
      <m:oMathPara>
        <m:oMathParaPr>
          <m:jc m:val="center"/>
        </m:oMathParaPr>
        <m:oMath>
          <m:r>
            <m:rPr>
              <m:sty m:val="p"/>
            </m:rPr>
            <m:t>(</m:t>
          </m:r>
          <m:r>
            <m:t>14</m:t>
          </m:r>
          <m:r>
            <m:rPr>
              <m:sty m:val="p"/>
            </m:rPr>
            <m:t>,</m:t>
          </m:r>
          <m:r>
            <m:t>1</m:t>
          </m:r>
          <m:r>
            <m:rPr>
              <m:sty m:val="p"/>
            </m:rPr>
            <m:t>,</m:t>
          </m:r>
          <m:r>
            <m:t>3</m:t>
          </m:r>
          <m:r>
            <m:rPr>
              <m:sty m:val="p"/>
            </m:rPr>
            <m:t>)</m:t>
          </m:r>
          <m:r>
            <m:rPr>
              <m:sty m:val="p"/>
            </m:rPr>
            <m:t>∼</m:t>
          </m:r>
          <m:r>
            <m:rPr>
              <m:nor/>
              <m:sty m:val="p"/>
            </m:rPr>
            <m:t>Multinomial</m:t>
          </m:r>
          <m:r>
            <m:rPr>
              <m:sty m:val="p"/>
            </m:rPr>
            <m:t>(</m:t>
          </m:r>
          <m:sSub>
            <m:e>
              <m:r>
                <m:t>U</m:t>
              </m:r>
            </m:e>
            <m:sub>
              <m:r>
                <m:t>22</m:t>
              </m:r>
            </m:sub>
          </m:sSub>
          <m:r>
            <m:rPr>
              <m:sty m:val="p"/>
            </m:rPr>
            <m:t>,</m:t>
          </m:r>
          <m:sSub>
            <m:e>
              <m:r>
                <m:t>U</m:t>
              </m:r>
            </m:e>
            <m:sub>
              <m:r>
                <m:t>32</m:t>
              </m:r>
            </m:sub>
          </m:sSub>
          <m:r>
            <m:rPr>
              <m:sty m:val="p"/>
            </m:rPr>
            <m:t>,</m:t>
          </m:r>
          <m:sSub>
            <m:e>
              <m:r>
                <m:t>U</m:t>
              </m:r>
            </m:e>
            <m:sub>
              <m:r>
                <m:t>d</m:t>
              </m:r>
              <m:r>
                <m:t>2</m:t>
              </m:r>
            </m:sub>
          </m:sSub>
          <m:r>
            <m:rPr>
              <m:sty m:val="p"/>
            </m:rPr>
            <m:t>)</m:t>
          </m:r>
          <m:r>
            <m:rPr>
              <m:sty m:val="p"/>
            </m:rPr>
            <m:t>,</m:t>
          </m:r>
        </m:oMath>
      </m:oMathPara>
    </w:p>
    <w:p>
      <w:pPr>
        <w:pStyle w:val="FirstParagraph"/>
      </w:pPr>
      <m:oMathPara>
        <m:oMathParaPr>
          <m:jc m:val="center"/>
        </m:oMathParaPr>
        <m:oMath>
          <m:r>
            <m:rPr>
              <m:sty m:val="p"/>
            </m:rPr>
            <m:t>(</m:t>
          </m:r>
          <m:r>
            <m:t>6</m:t>
          </m:r>
          <m:r>
            <m:rPr>
              <m:sty m:val="p"/>
            </m:rPr>
            <m:t>,</m:t>
          </m:r>
          <m:r>
            <m:t>2</m:t>
          </m:r>
          <m:r>
            <m:rPr>
              <m:sty m:val="p"/>
            </m:rPr>
            <m:t>,</m:t>
          </m:r>
          <m:r>
            <m:t>1</m:t>
          </m:r>
          <m:r>
            <m:rPr>
              <m:sty m:val="p"/>
            </m:rPr>
            <m:t>)</m:t>
          </m:r>
          <m:r>
            <m:rPr>
              <m:sty m:val="p"/>
            </m:rPr>
            <m:t>∼</m:t>
          </m:r>
          <m:r>
            <m:rPr>
              <m:nor/>
              <m:sty m:val="p"/>
            </m:rPr>
            <m:t>Multinomial</m:t>
          </m:r>
          <m:r>
            <m:rPr>
              <m:sty m:val="p"/>
            </m:rPr>
            <m:t>(</m:t>
          </m:r>
          <m:sSub>
            <m:e>
              <m:r>
                <m:t>U</m:t>
              </m:r>
            </m:e>
            <m:sub>
              <m:r>
                <m:t>33</m:t>
              </m:r>
            </m:sub>
          </m:sSub>
          <m:r>
            <m:rPr>
              <m:sty m:val="p"/>
            </m:rPr>
            <m:t>,</m:t>
          </m:r>
          <m:sSub>
            <m:e>
              <m:r>
                <m:t>U</m:t>
              </m:r>
            </m:e>
            <m:sub>
              <m:r>
                <m:t>43</m:t>
              </m:r>
            </m:sub>
          </m:sSub>
          <m:r>
            <m:rPr>
              <m:sty m:val="p"/>
            </m:rPr>
            <m:t>,</m:t>
          </m:r>
          <m:sSub>
            <m:e>
              <m:r>
                <m:t>U</m:t>
              </m:r>
            </m:e>
            <m:sub>
              <m:r>
                <m:t>d</m:t>
              </m:r>
              <m:r>
                <m:t>3</m:t>
              </m:r>
            </m:sub>
          </m:sSub>
          <m:r>
            <m:rPr>
              <m:sty m:val="p"/>
            </m:rPr>
            <m:t>)</m:t>
          </m:r>
          <m:r>
            <m:rPr>
              <m:sty m:val="p"/>
            </m:rPr>
            <m:t>,</m:t>
          </m:r>
        </m:oMath>
      </m:oMathPara>
    </w:p>
    <w:p>
      <w:pPr>
        <w:pStyle w:val="FirstParagraph"/>
      </w:pPr>
      <m:oMathPara>
        <m:oMathParaPr>
          <m:jc m:val="center"/>
        </m:oMathParaPr>
        <m:oMath>
          <m:r>
            <m:rPr>
              <m:sty m:val="p"/>
            </m:rPr>
            <m:t>(</m:t>
          </m:r>
          <m:r>
            <m:t>13</m:t>
          </m:r>
          <m:r>
            <m:rPr>
              <m:sty m:val="p"/>
            </m:rPr>
            <m:t>,</m:t>
          </m:r>
          <m:r>
            <m:t>33</m:t>
          </m:r>
          <m:r>
            <m:rPr>
              <m:sty m:val="p"/>
            </m:rPr>
            <m:t>,</m:t>
          </m:r>
          <m:r>
            <m:t>1</m:t>
          </m:r>
          <m:r>
            <m:rPr>
              <m:sty m:val="p"/>
            </m:rPr>
            <m:t>)</m:t>
          </m:r>
          <m:r>
            <m:rPr>
              <m:sty m:val="p"/>
            </m:rPr>
            <m:t>∼</m:t>
          </m:r>
          <m:r>
            <m:rPr>
              <m:nor/>
              <m:sty m:val="p"/>
            </m:rPr>
            <m:t>Multinomial</m:t>
          </m:r>
          <m:r>
            <m:rPr>
              <m:sty m:val="p"/>
            </m:rPr>
            <m:t>(</m:t>
          </m:r>
          <m:sSub>
            <m:e>
              <m:r>
                <m:t>U</m:t>
              </m:r>
            </m:e>
            <m:sub>
              <m:r>
                <m:t>34</m:t>
              </m:r>
            </m:sub>
          </m:sSub>
          <m:r>
            <m:rPr>
              <m:sty m:val="p"/>
            </m:rPr>
            <m:t>,</m:t>
          </m:r>
          <m:sSub>
            <m:e>
              <m:r>
                <m:t>U</m:t>
              </m:r>
            </m:e>
            <m:sub>
              <m:r>
                <m:t>44</m:t>
              </m:r>
            </m:sub>
          </m:sSub>
          <m:r>
            <m:rPr>
              <m:sty m:val="p"/>
            </m:rPr>
            <m:t>,</m:t>
          </m:r>
          <m:sSub>
            <m:e>
              <m:r>
                <m:t>U</m:t>
              </m:r>
            </m:e>
            <m:sub>
              <m:r>
                <m:t>d</m:t>
              </m:r>
              <m:r>
                <m:t>4</m:t>
              </m:r>
            </m:sub>
          </m:sSub>
          <m:r>
            <m:rPr>
              <m:sty m:val="p"/>
            </m:rPr>
            <m:t>)</m:t>
          </m:r>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t>47</m:t>
              </m:r>
              <m:sSub>
                <m:e>
                  <m:r>
                    <m:t>F</m:t>
                  </m:r>
                </m:e>
                <m:sub>
                  <m:r>
                    <m:t>14</m:t>
                  </m:r>
                </m:sub>
              </m:sSub>
            </m:e>
          </m:d>
          <m:r>
            <m:rPr>
              <m:sty m:val="p"/>
            </m:rPr>
            <m:t>.</m:t>
          </m:r>
        </m:oMath>
      </m:oMathPara>
    </w:p>
    <w:p>
      <w:pPr>
        <w:pStyle w:val="FirstParagraph"/>
      </w:pPr>
      <w:r>
        <w:t xml:space="preserve">To create a sampling distribution for the focal MPM, we take 2,000 independent draws from the posterior distributions obtained using these likelihoods and the priors described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credible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credible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is a simulation study with known truth, designed to test whether count models remain well calibrated when year-to-year process variation is present across a factorial range of effect sizes and sample sizes. Together, the three analyses bracket a range of typical uses of published MPMs and examine how modelled sources of uncertainty affect inference in different contexts.</w:t>
      </w:r>
    </w:p>
    <w:bookmarkEnd w:id="27"/>
    <w:bookmarkStart w:id="28"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 “shape” 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r>
            <m:rPr>
              <m:sty m:val="p"/>
            </m:rPr>
            <m:t>(</m:t>
          </m:r>
          <m:r>
            <m:t>3</m:t>
          </m:r>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Thus, more positive values indicate that mortality is concentrated later in adult life, whereas more negative values indicate that mortality is concentrated earlier in adult life.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sections S1.2 and S1.13).</w:t>
      </w:r>
    </w:p>
    <w:p>
      <w:pPr>
        <w:pStyle w:val="BodyText"/>
      </w:pPr>
      <w:r>
        <w:t xml:space="preserve">We calculated life expectancy and shape at the population level, using one population-level MPM per population. For populations with temporal replication, we used a pooled population MPM if available (i.e. a matrix constructed by pooling individual-level demographic information across periods and/or populations); otherwise, we used a population mean MPM if available (i.e. an element-by-element arithmetic mean across annual matrices); if neither was available, we constructed a population-level matrix by taking the element-wise mean of the available annual</w:t>
      </w:r>
      <w:r>
        <w:t xml:space="preserve"> </w:t>
      </w:r>
      <w:r>
        <w:rPr>
          <w:rStyle w:val="VerbatimChar"/>
        </w:rPr>
        <w:t xml:space="preserve">Individual</w:t>
      </w:r>
      <w:r>
        <w:t xml:space="preserve"> </w:t>
      </w:r>
      <w:r>
        <w:t xml:space="preserve">matrices in COMPADRE.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Across the compiled analysis set, 5 population-level matrices (representing 5 populations) had no usable recovered stage-specific sample sizes. Where retained, their unsupported columns were held fixed rather than assigned reconstructed sampling uncertainty.</w:t>
      </w:r>
    </w:p>
    <w:p>
      <w:pPr>
        <w:pStyle w:val="BodyText"/>
      </w:pPr>
      <w:r>
        <w:t xml:space="preserve">Our uncertainty-propagation workflow used recovered stage-specific or transition-specific sample sizes; total estimated population size was not systematically available across the included studies and was not used in the analyses.</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4</m:t>
          </m:r>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r>
          <m:rPr>
            <m:sty m:val="p"/>
          </m:rPr>
          <m:t>(</m:t>
        </m:r>
        <m:sSub>
          <m:e>
            <m:r>
              <m:t>μ</m:t>
            </m:r>
          </m:e>
          <m:sub>
            <m:r>
              <m:t>α</m:t>
            </m:r>
          </m:sub>
        </m:sSub>
        <m:r>
          <m:rPr>
            <m:sty m:val="p"/>
          </m:rPr>
          <m:t>,</m:t>
        </m:r>
        <m:sSup>
          <m:e>
            <m:r>
              <m:t>τ</m:t>
            </m:r>
          </m:e>
          <m:sup>
            <m:r>
              <m:t>2</m:t>
            </m:r>
          </m:sup>
        </m:sSup>
        <m:r>
          <m:rPr>
            <m:sty m:val="p"/>
          </m:rPr>
          <m:t>)</m:t>
        </m:r>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reconstructed posterior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r>
            <m:rPr>
              <m:sty m:val="p"/>
            </m:rPr>
            <m:t>(</m:t>
          </m:r>
          <m:sSub>
            <m:e>
              <m:r>
                <m:t>x</m:t>
              </m:r>
            </m:e>
            <m:sub>
              <m:r>
                <m:t>i</m:t>
              </m:r>
              <m:r>
                <m:t>j</m:t>
              </m:r>
            </m:sub>
          </m:sSub>
          <m:r>
            <m:rPr>
              <m:sty m:val="p"/>
            </m:rPr>
            <m:t>,</m:t>
          </m:r>
          <m:sSubSup>
            <m:e>
              <m:r>
                <m:t>σ</m:t>
              </m:r>
            </m:e>
            <m:sub>
              <m:r>
                <m:t>x</m:t>
              </m:r>
              <m:r>
                <m:rPr>
                  <m:sty m:val="p"/>
                </m:rPr>
                <m:t>,</m:t>
              </m:r>
              <m:r>
                <m:t>i</m:t>
              </m:r>
              <m:r>
                <m:t>j</m:t>
              </m:r>
            </m:sub>
            <m:sup>
              <m:r>
                <m:t>2</m:t>
              </m:r>
            </m:sup>
          </m:sSubSup>
          <m:r>
            <m:rPr>
              <m:sty m:val="p"/>
            </m:rPr>
            <m:t>)</m:t>
          </m:r>
          <m:r>
            <m:rPr>
              <m:sty m:val="p"/>
            </m:rPr>
            <m:t>,</m:t>
          </m:r>
          <m:r>
            <m:t>  </m:t>
          </m:r>
          <m:r>
            <m:rPr>
              <m:sty m:val="p"/>
            </m:rPr>
            <m:t>(</m:t>
          </m:r>
          <m:r>
            <m:t>6</m:t>
          </m:r>
          <m:r>
            <m:rPr>
              <m:sty m:val="p"/>
            </m:rPr>
            <m:t>)</m:t>
          </m:r>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r>
            <m:rPr>
              <m:sty m:val="p"/>
            </m:rPr>
            <m:t>(</m:t>
          </m:r>
          <m:sSub>
            <m:e>
              <m:r>
                <m:t>y</m:t>
              </m:r>
            </m:e>
            <m:sub>
              <m:r>
                <m:t>i</m:t>
              </m:r>
              <m:r>
                <m:t>j</m:t>
              </m:r>
            </m:sub>
          </m:sSub>
          <m:r>
            <m:rPr>
              <m:sty m:val="p"/>
            </m:rPr>
            <m:t>,</m:t>
          </m:r>
          <m:sSubSup>
            <m:e>
              <m:r>
                <m:t>σ</m:t>
              </m:r>
            </m:e>
            <m:sub>
              <m:r>
                <m:t>y</m:t>
              </m:r>
              <m:r>
                <m:rPr>
                  <m:sty m:val="p"/>
                </m:rPr>
                <m:t>,</m:t>
              </m:r>
              <m:r>
                <m:t>i</m:t>
              </m:r>
              <m:r>
                <m:t>j</m:t>
              </m:r>
            </m:sub>
            <m:sup>
              <m:r>
                <m:t>2</m:t>
              </m:r>
            </m:sup>
          </m:sSubSup>
          <m:r>
            <m:rPr>
              <m:sty m:val="p"/>
            </m:rPr>
            <m:t>)</m:t>
          </m:r>
          <m:r>
            <m:rPr>
              <m:sty m:val="p"/>
            </m:rPr>
            <m:t>.</m:t>
          </m:r>
          <m:r>
            <m:t>  </m:t>
          </m:r>
          <m:r>
            <m:rPr>
              <m:sty m:val="p"/>
            </m:rPr>
            <m:t>(</m:t>
          </m:r>
          <m:r>
            <m:t>7</m:t>
          </m:r>
          <m:r>
            <m:rPr>
              <m:sty m:val="p"/>
            </m:rPr>
            <m:t>)</m:t>
          </m:r>
        </m:oMath>
      </m:oMathPara>
    </w:p>
    <w:p>
      <w:pPr>
        <w:pStyle w:val="FirstParagraph"/>
      </w:pPr>
      <w:r>
        <w:t xml:space="preserve">For these models, we used priors and settings as described in Supplementary Methods section S1.4.</w:t>
      </w:r>
    </w:p>
    <w:p>
      <w:pPr>
        <w:pStyle w:val="BodyText"/>
      </w:pPr>
      <w:r>
        <w:t xml:space="preserve">In supplementary analyses, we compared the variance across population-level MPM entries of each parameter derived from matrix point estimates with the variance of its reconstructed posterior means. A ratio greater than 1 indicates that point estimates are more dispersed than posterior means; it does not partition sampling and biological variance. We obtained 95% intervals by paired bootstrap resampling of entries (Supplementary Methods section S1.5; Table</w:t>
      </w:r>
      <w:r>
        <w:t xml:space="preserve"> </w:t>
      </w:r>
      <w:r>
        <w:t xml:space="preserve">1</w:t>
      </w:r>
      <w:r>
        <w:t xml:space="preserve">).</w:t>
      </w:r>
    </w:p>
    <w:bookmarkEnd w:id="28"/>
    <w:bookmarkStart w:id="29"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(PRISM data extracted at the geographic coordinates of the study population and matched in time to the demographic observations),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 “rosette” stage class (i.e. no rosettes were observed in the sample plots). Instead of examining variation in population growth rates (which assumes ergodicity), we focus on the reproductive transition (hereafter ‘recruitment’,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and survival.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Any robustness in this analysis would therefore reflect properties of aggregate reproductive transitions under moderate sample sizes, and should not be taken to imply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r>
            <m:rPr>
              <m:sty m:val="p"/>
            </m:rPr>
            <m:t>(</m:t>
          </m:r>
          <m:sSub>
            <m:e>
              <m:r>
                <m:t>y</m:t>
              </m:r>
            </m:e>
            <m:sub>
              <m:r>
                <m:t>t</m:t>
              </m:r>
            </m:sub>
          </m:sSub>
          <m:r>
            <m:rPr>
              <m:sty m:val="p"/>
            </m:rPr>
            <m:t>)</m:t>
          </m:r>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rPr>
              <m:sty m:val="p"/>
            </m:rPr>
            <m:t>,</m:t>
          </m:r>
          <m:r>
            <m:t>  </m:t>
          </m:r>
          <m:r>
            <m:rPr>
              <m:sty m:val="p"/>
            </m:rPr>
            <m:t>(</m:t>
          </m:r>
          <m:r>
            <m:t>8</m:t>
          </m:r>
          <m:r>
            <m:rPr>
              <m:sty m:val="p"/>
            </m:rPr>
            <m:t>)</m:t>
          </m:r>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i"/>
            </m:rPr>
            <m:t>K</m:t>
          </m:r>
          <m:r>
            <m:rPr>
              <m:sty m:val="p"/>
            </m:rPr>
            <m:t>)</m:t>
          </m:r>
          <m:r>
            <m:rPr>
              <m:sty m:val="p"/>
            </m:rPr>
            <m:t>,</m:t>
          </m:r>
          <m:r>
            <m:t>  </m:t>
          </m:r>
          <m:r>
            <m:rPr>
              <m:sty m:val="p"/>
            </m:rPr>
            <m:t>(</m:t>
          </m:r>
          <m:r>
            <m:t>9</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rPr>
              <m:sty m:val="p"/>
            </m:rPr>
            <m:t>,</m:t>
          </m:r>
          <m:r>
            <m:t>  </m:t>
          </m:r>
          <m:r>
            <m:rPr>
              <m:sty m:val="p"/>
            </m:rPr>
            <m:t>(</m:t>
          </m:r>
          <m:r>
            <m:t>10</m:t>
          </m:r>
          <m:r>
            <m:rPr>
              <m:sty m:val="p"/>
            </m:rPr>
            <m:t>)</m:t>
          </m:r>
        </m:oMath>
      </m:oMathPara>
    </w:p>
    <w:p>
      <w:pPr>
        <w:pStyle w:val="FirstParagraph"/>
      </w:pPr>
      <w:r>
        <w:t xml:space="preserve">respectively, 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i"/>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r>
          <m:rPr>
            <m:sty m:val="p"/>
          </m:rPr>
          <m:t>(</m:t>
        </m:r>
        <m:sSub>
          <m:e>
            <m:r>
              <m:t>N</m:t>
            </m:r>
          </m:e>
          <m:sub>
            <m:r>
              <m:t>t</m:t>
            </m:r>
            <m:r>
              <m:rPr>
                <m:sty m:val="p"/>
              </m:rPr>
              <m:t>−</m:t>
            </m:r>
            <m:r>
              <m:t>1</m:t>
            </m:r>
          </m:sub>
        </m:sSub>
        <m:r>
          <m:rPr>
            <m:sty m:val="p"/>
          </m:rPr>
          <m:t>)</m:t>
        </m:r>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 Accordingly, we model seedling counts as</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rPr>
              <m:sty m:val="p"/>
            </m:rPr>
            <m:t>,</m:t>
          </m:r>
          <m:r>
            <m:t>  </m:t>
          </m:r>
          <m:r>
            <m:rPr>
              <m:sty m:val="p"/>
            </m:rPr>
            <m:t>(</m:t>
          </m:r>
          <m:r>
            <m:t>11</m:t>
          </m:r>
          <m:r>
            <m:rPr>
              <m:sty m:val="p"/>
            </m:rPr>
            <m:t>)</m:t>
          </m:r>
        </m:oMath>
      </m:oMathPara>
    </w:p>
    <w:p>
      <w:pPr>
        <w:pStyle w:val="FirstParagraph"/>
      </w:pPr>
      <w:r>
        <w:t xml:space="preserve">and year-specific intercepts as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r>
                <m:rPr>
                  <m:sty m:val="p"/>
                </m:rPr>
                <m:t>(</m:t>
              </m:r>
              <m:sSub>
                <m:e>
                  <m:r>
                    <m:t>N</m:t>
                  </m:r>
                </m:e>
                <m:sub>
                  <m:r>
                    <m:t>t</m:t>
                  </m:r>
                  <m:r>
                    <m:rPr>
                      <m:sty m:val="p"/>
                    </m:rPr>
                    <m:t>−</m:t>
                  </m:r>
                  <m:r>
                    <m:t>1</m:t>
                  </m:r>
                </m:sub>
              </m:sSub>
              <m:r>
                <m:rPr>
                  <m:sty m:val="p"/>
                </m:rPr>
                <m:t>)</m:t>
              </m:r>
              <m:r>
                <m:rPr>
                  <m:sty m:val="p"/>
                </m:rPr>
                <m:t>,</m:t>
              </m:r>
              <m:sSubSup>
                <m:e>
                  <m:r>
                    <m:t>σ</m:t>
                  </m:r>
                </m:e>
                <m:sub>
                  <m:r>
                    <m:t>α</m:t>
                  </m:r>
                </m:sub>
                <m:sup>
                  <m:r>
                    <m:t>2</m:t>
                  </m:r>
                </m:sup>
              </m:sSubSup>
            </m:e>
          </m:d>
          <m:r>
            <m:rPr>
              <m:sty m:val="p"/>
            </m:rPr>
            <m:t>.</m:t>
          </m:r>
          <m:r>
            <m:t>  </m:t>
          </m:r>
          <m:r>
            <m:rPr>
              <m:sty m:val="p"/>
            </m:rPr>
            <m:t>(</m:t>
          </m:r>
          <m:r>
            <m:t>12</m:t>
          </m:r>
          <m:r>
            <m:rPr>
              <m:sty m:val="p"/>
            </m:rPr>
            <m:t>)</m:t>
          </m:r>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r>
          <m:rPr>
            <m:sty m:val="p"/>
          </m:rPr>
          <m:t>(</m:t>
        </m:r>
        <m:sSub>
          <m:e>
            <m:acc>
              <m:accPr>
                <m:chr m:val="̂"/>
              </m:accPr>
              <m:e>
                <m:r>
                  <m:t>r</m:t>
                </m:r>
              </m:e>
            </m:acc>
          </m:e>
          <m:sub>
            <m:r>
              <m:t>t</m:t>
            </m:r>
          </m:sub>
        </m:sSub>
        <m:r>
          <m:rPr>
            <m:sty m:val="p"/>
          </m:rPr>
          <m:t>)</m:t>
        </m:r>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We used the same coefficient prior and covariance structure as for the point-estimate model (Eqs. (9) and (10)), 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formulations on the logit scale: an SSD-weighted quasibinomial GLM for point estimates (</w:t>
      </w:r>
      <m:oMath>
        <m:r>
          <m:rPr>
            <m:nor/>
            <m:scr m:val="monospace"/>
            <m:sty m:val="p"/>
          </m:rPr>
          <m:t>surv</m:t>
        </m:r>
        <m:r>
          <m:rPr>
            <m:sty m:val="p"/>
          </m:rPr>
          <m:t>∼</m:t>
        </m:r>
        <m:r>
          <m:rPr>
            <m:nor/>
            <m:scr m:val="monospace"/>
            <m:sty m:val="p"/>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These formulations differ in weighting and dispersion assumptions as well as their use of sample sizes, so their comparison does not isolate sampling uncertainty. Full implementation details are provided in Supplementary Methods sections S1.6 and S1.10.</w:t>
      </w:r>
    </w:p>
    <w:bookmarkEnd w:id="29"/>
    <w:bookmarkStart w:id="30" w:name="Xbcefed090b6f5aec8f7c246135f8631e1a55520"/>
    <w:p>
      <w:pPr>
        <w:pStyle w:val="Heading3"/>
      </w:pPr>
      <w:r>
        <w:t xml:space="preserve">Analysis 3: Simulation study of climate effects on fecundity</w:t>
      </w:r>
    </w:p>
    <w:p>
      <w:pPr>
        <w:pStyle w:val="FirstParagraph"/>
      </w:pPr>
      <w:r>
        <w:t xml:space="preserve">To evaluate the effect of sampling uncertainty under known truth, we simulated annual recruitment time series from a realistic four-stage Lefkovitch MPM generated with</w:t>
      </w:r>
      <w:r>
        <w:t xml:space="preserve"> </w:t>
      </w:r>
      <w:r>
        <w:rPr>
          <w:rStyle w:val="VerbatimChar"/>
        </w:rPr>
        <w:t xml:space="preserve">mpmsim::rand_lefko_mpm()</w:t>
      </w:r>
      <w:r>
        <w:t xml:space="preserve"> </w:t>
      </w:r>
      <w:r>
        <w:t xml:space="preserve">(archetype 2) and retained a baseline matrix with population growth rate close to equilibrium (</w:t>
      </w:r>
      <m:oMath>
        <m:r>
          <m:t>λ</m:t>
        </m:r>
        <m:r>
          <m:rPr>
            <m:sty m:val="p"/>
          </m:rPr>
          <m:t>≈</m:t>
        </m:r>
        <m:r>
          <m:t>1</m:t>
        </m:r>
      </m:oMath>
      <w:r>
        <w:t xml:space="preserve">). We then imposed a climate effect on a single fecundity entry,</w:t>
      </w:r>
      <w:r>
        <w:t xml:space="preserve"> </w:t>
      </w:r>
      <m:oMath>
        <m:sSub>
          <m:e>
            <m:r>
              <m:t>F</m:t>
            </m:r>
          </m:e>
          <m:sub>
            <m:r>
              <m:t>1</m:t>
            </m:r>
            <m:r>
              <m:rPr>
                <m:sty m:val="p"/>
              </m:rPr>
              <m:t>,</m:t>
            </m:r>
            <m:r>
              <m:t>4</m:t>
            </m:r>
          </m:sub>
        </m:sSub>
      </m:oMath>
      <w:r>
        <w:t xml:space="preserve">, over</w:t>
      </w:r>
      <w:r>
        <w:t xml:space="preserve"> </w:t>
      </w:r>
      <m:oMath>
        <m:r>
          <m:t>T</m:t>
        </m:r>
        <m:r>
          <m:rPr>
            <m:sty m:val="p"/>
          </m:rPr>
          <m:t>=</m:t>
        </m:r>
        <m:r>
          <m:t>15</m:t>
        </m:r>
      </m:oMath>
      <w:r>
        <w:t xml:space="preserve"> </w:t>
      </w:r>
      <w:r>
        <w:t xml:space="preserve">annual time steps. In each simulated year, the climate covariate was drawn as</w:t>
      </w:r>
      <w:r>
        <w:t xml:space="preserve"> </w:t>
      </w:r>
      <m:oMath>
        <m:sSub>
          <m:e>
            <m:r>
              <m:t>x</m:t>
            </m:r>
          </m:e>
          <m:sub>
            <m:r>
              <m:t>t</m:t>
            </m:r>
          </m:sub>
        </m:sSub>
        <m:r>
          <m:rPr>
            <m:sty m:val="p"/>
          </m:rPr>
          <m:t>∼</m:t>
        </m:r>
        <m:r>
          <m:rPr>
            <m:nor/>
            <m:sty m:val="p"/>
          </m:rPr>
          <m:t>Normal</m:t>
        </m:r>
        <m:r>
          <m:rPr>
            <m:sty m:val="p"/>
          </m:rPr>
          <m:t>(</m:t>
        </m:r>
        <m:r>
          <m:t>0</m:t>
        </m:r>
        <m:r>
          <m:rPr>
            <m:sty m:val="p"/>
          </m:rPr>
          <m:t>,</m:t>
        </m:r>
        <m:r>
          <m:t>1</m:t>
        </m:r>
        <m:r>
          <m:rPr>
            <m:sty m:val="p"/>
          </m:rPr>
          <m:t>)</m:t>
        </m:r>
      </m:oMath>
      <w:r>
        <w:t xml:space="preserve">, and true fecundity followed</w:t>
      </w:r>
    </w:p>
    <w:p>
      <w:pPr>
        <w:pStyle w:val="BodyText"/>
      </w:pPr>
      <m:oMathPara>
        <m:oMathParaPr>
          <m:jc m:val="center"/>
        </m:oMathParaPr>
        <m:oMath>
          <m:r>
            <m:rPr>
              <m:sty m:val="p"/>
            </m:rPr>
            <m:t>log</m:t>
          </m:r>
          <m:r>
            <m:rPr>
              <m:sty m:val="p"/>
            </m:rPr>
            <m:t>(</m:t>
          </m:r>
          <m:sSub>
            <m:e>
              <m:r>
                <m:t>F</m:t>
              </m:r>
            </m:e>
            <m:sub>
              <m:r>
                <m:t>1</m:t>
              </m:r>
              <m:r>
                <m:rPr>
                  <m:sty m:val="p"/>
                </m:rPr>
                <m:t>,</m:t>
              </m:r>
              <m:r>
                <m:t>4</m:t>
              </m:r>
              <m:r>
                <m:rPr>
                  <m:sty m:val="p"/>
                </m:rPr>
                <m:t>,</m:t>
              </m:r>
              <m:r>
                <m:t>t</m:t>
              </m:r>
            </m:sub>
          </m:sSub>
          <m:r>
            <m:rPr>
              <m:sty m:val="p"/>
            </m:rPr>
            <m:t>)</m:t>
          </m:r>
          <m:r>
            <m:rPr>
              <m:sty m:val="p"/>
            </m:rPr>
            <m:t>=</m:t>
          </m:r>
          <m:r>
            <m:rPr>
              <m:sty m:val="p"/>
            </m:rPr>
            <m:t>log</m:t>
          </m:r>
          <m:r>
            <m:rPr>
              <m:sty m:val="p"/>
            </m:rPr>
            <m:t>(</m:t>
          </m:r>
          <m:sSub>
            <m:e>
              <m:r>
                <m:t>F</m:t>
              </m:r>
            </m:e>
            <m:sub>
              <m:r>
                <m:t>1</m:t>
              </m:r>
              <m:r>
                <m:rPr>
                  <m:sty m:val="p"/>
                </m:rPr>
                <m:t>,</m:t>
              </m:r>
              <m:r>
                <m:t>4</m:t>
              </m:r>
            </m:sub>
          </m:sSub>
          <m:r>
            <m:rPr>
              <m:sty m:val="p"/>
            </m:rPr>
            <m:t>)</m:t>
          </m:r>
          <m:r>
            <m:rPr>
              <m:sty m:val="p"/>
            </m:rPr>
            <m:t>+</m:t>
          </m:r>
          <m:sSub>
            <m:e>
              <m:r>
                <m:t>β</m:t>
              </m:r>
            </m:e>
            <m:sub>
              <m:r>
                <m:rPr>
                  <m:nor/>
                  <m:sty m:val="p"/>
                </m:rPr>
                <m:t>true</m:t>
              </m:r>
            </m:sub>
          </m:sSub>
          <m:sSub>
            <m:e>
              <m:r>
                <m:t>x</m:t>
              </m:r>
            </m:e>
            <m:sub>
              <m:r>
                <m:t>t</m:t>
              </m:r>
            </m:sub>
          </m:sSub>
          <m:r>
            <m:rPr>
              <m:sty m:val="p"/>
            </m:rPr>
            <m:t>+</m:t>
          </m:r>
          <m:sSub>
            <m:e>
              <m:r>
                <m:t>z</m:t>
              </m:r>
            </m:e>
            <m:sub>
              <m:r>
                <m:t>t</m:t>
              </m:r>
            </m:sub>
          </m:sSub>
          <m:r>
            <m:rPr>
              <m:sty m:val="p"/>
            </m:rPr>
            <m:t>,</m:t>
          </m:r>
          <m:r>
            <m:t>  </m:t>
          </m:r>
          <m:r>
            <m:rPr>
              <m:sty m:val="p"/>
            </m:rPr>
            <m:t>(</m:t>
          </m:r>
          <m:r>
            <m:t>13</m:t>
          </m:r>
          <m:r>
            <m:rPr>
              <m:sty m:val="p"/>
            </m:rPr>
            <m:t>)</m:t>
          </m:r>
        </m:oMath>
      </m:oMathPara>
    </w:p>
    <w:p>
      <w:pPr>
        <w:pStyle w:val="FirstParagraph"/>
      </w:pPr>
      <w:r>
        <w:t xml:space="preserve">where</w:t>
      </w:r>
      <w:r>
        <w:t xml:space="preserve"> </w:t>
      </w:r>
      <m:oMath>
        <m:sSub>
          <m:e>
            <m:r>
              <m:t>β</m:t>
            </m:r>
          </m:e>
          <m:sub>
            <m:r>
              <m:rPr>
                <m:nor/>
                <m:sty m:val="p"/>
              </m:rPr>
              <m:t>true</m:t>
            </m:r>
          </m:sub>
        </m:sSub>
      </m:oMath>
      <w:r>
        <w:t xml:space="preserve"> </w:t>
      </w:r>
      <w:r>
        <w:t xml:space="preserve">was set to 0.1, 0.3, or 0.5, and</w:t>
      </w:r>
      <w:r>
        <w:t xml:space="preserve"> </w:t>
      </w:r>
      <m:oMath>
        <m:sSub>
          <m:e>
            <m:r>
              <m:t>z</m:t>
            </m:r>
          </m:e>
          <m:sub>
            <m:r>
              <m:t>t</m:t>
            </m:r>
          </m:sub>
        </m:sSub>
        <m:r>
          <m:rPr>
            <m:sty m:val="p"/>
          </m:rPr>
          <m:t>∼</m:t>
        </m:r>
        <m:r>
          <m:rPr>
            <m:nor/>
            <m:sty m:val="p"/>
          </m:rPr>
          <m:t>Normal</m:t>
        </m:r>
        <m:r>
          <m:rPr>
            <m:sty m:val="p"/>
          </m:rPr>
          <m:t>(</m:t>
        </m:r>
        <m:r>
          <m:t>0</m:t>
        </m:r>
        <m:r>
          <m:rPr>
            <m:sty m:val="p"/>
          </m:rPr>
          <m:t>,</m:t>
        </m:r>
        <m:sSup>
          <m:e>
            <m:r>
              <m:t>0.2</m:t>
            </m:r>
          </m:e>
          <m:sup>
            <m:r>
              <m:t>2</m:t>
            </m:r>
          </m:sup>
        </m:sSup>
        <m:r>
          <m:rPr>
            <m:sty m:val="p"/>
          </m:rPr>
          <m:t>)</m:t>
        </m:r>
      </m:oMath>
      <w:r>
        <w:t xml:space="preserve"> </w:t>
      </w:r>
      <w:r>
        <w:t xml:space="preserve">represented additional year-to-year biological variation not explained by climate. For each year we then simulated observed seedling counts from finite samples of reproductive individuals, using stage sample sizes of 10, 20, 50, or 100 per year. We analysed 200 replicate time series for each effect-size and sample-size combination.</w:t>
      </w:r>
    </w:p>
    <w:p>
      <w:pPr>
        <w:pStyle w:val="BodyText"/>
      </w:pPr>
      <w:r>
        <w:t xml:space="preserve">For each simulated dataset, we fit three models to estimate the climate effect on recruitment: (i) a Gaussian regression with a log link on annual point estimates of fecundity, (ii) a Poisson count model using observed seedling counts and an offset for the number of reproductive individuals, and (iii) a Poisson uncertainty-aware model that additionally included a latent year-specific process term analogous to</w:t>
      </w:r>
      <w:r>
        <w:t xml:space="preserve"> </w:t>
      </w:r>
      <m:oMath>
        <m:sSub>
          <m:e>
            <m:r>
              <m:t>z</m:t>
            </m:r>
          </m:e>
          <m:sub>
            <m:r>
              <m:t>t</m:t>
            </m:r>
          </m:sub>
        </m:sSub>
      </m:oMath>
      <w:r>
        <w:t xml:space="preserve">. All three models target the same log-scale climate effect; the Gaussian model uses untransformed rates as its response and assumes constant residual variance. Its 95% intervals use the coefficient estimate ± a Student-t critical value times its standard error, with residual degrees of freedom. We then compared the models in terms of bias and 95% interval coverage (the proportion of replicate datasets in which the 95% interval contained the true effect</w:t>
      </w:r>
      <w:r>
        <w:t xml:space="preserve"> </w:t>
      </w:r>
      <m:oMath>
        <m:sSub>
          <m:e>
            <m:r>
              <m:t>β</m:t>
            </m:r>
          </m:e>
          <m:sub>
            <m:r>
              <m:rPr>
                <m:nor/>
                <m:sty m:val="p"/>
              </m:rPr>
              <m:t>true</m:t>
            </m:r>
          </m:sub>
        </m:sSub>
      </m:oMath>
      <w:r>
        <w:t xml:space="preserve">; a well-calibrated model achieves coverage close to the nominal 0.95). Both Poisson models account for finite-sample count variation; their comparison tests the effect of additionally modelling year-to-year process variation under known truth. A supplementary multisite robustness analysis applying the analysis 2 framework to three</w:t>
      </w:r>
      <w:r>
        <w:t xml:space="preserve"> </w:t>
      </w:r>
      <w:r>
        <w:rPr>
          <w:i/>
          <w:iCs/>
        </w:rPr>
        <w:t xml:space="preserve">Astragalus scaphoides</w:t>
      </w:r>
      <w:r>
        <w:t xml:space="preserve"> </w:t>
      </w:r>
      <w:r>
        <w:t xml:space="preserve">populations is reported in Supplementary Methods section S1.10 and Supplementary Results section S2.5.</w:t>
      </w:r>
    </w:p>
    <w:p>
      <w:pPr>
        <w:pStyle w:val="BodyText"/>
      </w:pPr>
      <w:r>
        <w:t xml:space="preserve">Priors and fitting settings for the simulation model are given in Supplementary Methods section S1.4.</w:t>
      </w:r>
    </w:p>
    <w:p>
      <w:pPr>
        <w:pStyle w:val="BodyText"/>
      </w:pPr>
      <w:r>
        <w:t xml:space="preserve">All analyses were run in R (4.6.1) using RStan (2.32.7), with data handling and plotting in tidyverse packages.</w:t>
      </w:r>
    </w:p>
    <w:bookmarkEnd w:id="30"/>
    <w:bookmarkEnd w:id="31"/>
    <w:bookmarkEnd w:id="32"/>
    <w:bookmarkStart w:id="36" w:name="results"/>
    <w:p>
      <w:pPr>
        <w:pStyle w:val="Heading1"/>
      </w:pPr>
      <w:r>
        <w:t xml:space="preserve">Results</w:t>
      </w:r>
    </w:p>
    <w:bookmarkStart w:id="33" w:name="Xdd6638ed7316a87858b3445bbb79e25a6ceb092"/>
    <w:p>
      <w:pPr>
        <w:pStyle w:val="Heading2"/>
      </w:pPr>
      <w:r>
        <w:t xml:space="preserve">Analysis 1: Comparative analysis of mortality trajectories</w:t>
      </w:r>
    </w:p>
    <w:p>
      <w:pPr>
        <w:pStyle w:val="FirstParagraph"/>
      </w:pPr>
      <w:r>
        <w:t xml:space="preserve">We first compare the dispersion of point estimates and posterior means across population-level entries (Table</w:t>
      </w:r>
      <w:r>
        <w:t xml:space="preserve"> </w:t>
      </w:r>
      <w:r>
        <w:t xml:space="preserve">1</w:t>
      </w:r>
      <w:r>
        <w:t xml:space="preserve">), then ask whether accounting for sampling uncertainty alters inference in a specific comparative analysis.</w:t>
      </w:r>
    </w:p>
    <w:p>
      <w:pPr>
        <w:pStyle w:val="BodyText"/>
      </w:pPr>
      <w:r>
        <w:t xml:space="preserve">For life expectancy and shape, across-entry variance of point estimates was 1.93 and 3.31 times the variance of posterior means, respectively (Table</w:t>
      </w:r>
      <w:r>
        <w:t xml:space="preserve"> </w:t>
      </w:r>
      <w:r>
        <w:t xml:space="preserve">1</w:t>
      </w:r>
      <w:r>
        <w:t xml:space="preserve">). These ratios describe dispersion, not the proportion of variance attributable to sampling uncertainty.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did not impact the overall conclusion (Fig.</w:t>
      </w:r>
      <w:r>
        <w:t xml:space="preserve"> </w:t>
      </w:r>
      <w:r>
        <w:t xml:space="preserve">4</w:t>
      </w:r>
      <w:r>
        <w:t xml:space="preserve">; Supplementary Table S3). While the posterior distribution of the slope parameter β from the point-estimate model was centred slightly to the left of zero (P[β &gt; 0] = 0.206), the corresponding posterior from the sampling-uncertainty model was shifted somewhat to the right (P[β &gt; 0] = 0.770). The posterior median of the slope therefore changed sign between the two models. This shift is not trivial, but because both posteriors span zero the overall conclusion, that there is no strong effect, is unchanged.</w:t>
      </w:r>
    </w:p>
    <w:p>
      <w:pPr>
        <w:pStyle w:val="BodyText"/>
      </w:pPr>
      <w:r>
        <w:t xml:space="preserve">Counterintuitively, there was less posterior uncertainty in β in the sampling-uncertainty model than in the point-estimate model. The shift of extreme shape estimates towards zero (Figure</w:t>
      </w:r>
      <w:r>
        <w:t xml:space="preserve"> </w:t>
      </w:r>
      <w:r>
        <w:t xml:space="preserve">4</w:t>
      </w:r>
      <w:r>
        <w:t xml:space="preserve">A) may contribute to this narrowing, but posterior precision also depends on the model assumptions and treatment of uncertainty; reduced scatter alone does not establish the explanation.</w:t>
      </w:r>
    </w:p>
    <w:bookmarkEnd w:id="33"/>
    <w:bookmarkStart w:id="34"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stages 1 and 4 are labelled as not estimable because stage 1 has only four usable years and stage 4 has 100% survival in all usable years. The narrower intervals in the count model should be interpreted in light of the different likelihood and weighting assumptions, rather than attributed to uncertainty propagation alone.</w:t>
      </w:r>
    </w:p>
    <w:bookmarkEnd w:id="34"/>
    <w:bookmarkStart w:id="35" w:name="X833b9bf9308421cbeeaa896dbc36efa1f10b09d"/>
    <w:p>
      <w:pPr>
        <w:pStyle w:val="Heading2"/>
      </w:pPr>
      <w:r>
        <w:t xml:space="preserve">Analysis 3: Simulation study of climate effects on fecundity</w:t>
      </w:r>
    </w:p>
    <w:p>
      <w:pPr>
        <w:pStyle w:val="FirstParagraph"/>
      </w:pPr>
      <w:r>
        <w:t xml:space="preserve">The simulation study showed that accounting for year-to-year process variation improved interval calibration without materially increasing average estimation error (Fig.</w:t>
      </w:r>
      <w:r>
        <w:t xml:space="preserve"> </w:t>
      </w:r>
      <w:r>
        <w:t xml:space="preserve">6</w:t>
      </w:r>
      <w:r>
        <w:t xml:space="preserve">). Across the full factorial design, the uncertainty-aware Poisson model achieved near-nominal 95% interval coverage (0.951), whereas the simpler Poisson point-estimate model undercovered substantially (0.757). The two Poisson formulations had very similar overall RMSE (0.086 versus 0.087), indicating that the main benefit of modelling this process variation was improved interval calibration rather than reduced average error.</w:t>
      </w:r>
    </w:p>
    <w:p>
      <w:pPr>
        <w:pStyle w:val="BodyText"/>
      </w:pPr>
      <w:r>
        <w:t xml:space="preserve">The undercoverage of the Poisson point-estimate model became more severe as sample size increased. Averaged across true effect sizes, its coverage declined from 0.897 at sample size 10 to 0.593 at sample size 100, whereas the uncertainty-aware model remained stable over the same range (0.955 to 0.952; Fig.</w:t>
      </w:r>
      <w:r>
        <w:t xml:space="preserve"> </w:t>
      </w:r>
      <w:r>
        <w:t xml:space="preserve">6</w:t>
      </w:r>
      <w:r>
        <w:t xml:space="preserve">). This occurs because the point-estimate model treats increasing sample size as if it eliminated most uncertainty, even though the simulated truth still includes year-to-year biological variation not explained by climate. As a result, its intervals become too narrow. The residual variation being represented here is among-year process variation, a component distinct from the transition-rate sampling uncertainty examined in Analyses 1 and 2; the point-estimate model becomes overconfident precisely because it implicitly assumes this variation away as sample size grows.</w:t>
      </w:r>
    </w:p>
    <w:p>
      <w:pPr>
        <w:pStyle w:val="BodyText"/>
      </w:pPr>
      <w:r>
        <w:t xml:space="preserve">All three models showed little average bias (Fig.</w:t>
      </w:r>
      <w:r>
        <w:t xml:space="preserve"> </w:t>
      </w:r>
      <w:r>
        <w:t xml:space="preserve">6</w:t>
      </w:r>
      <w:r>
        <w:t xml:space="preserve">). For the Gaussian log-link model, mean bias was -0.005 when</w:t>
      </w:r>
      <w:r>
        <w:t xml:space="preserve"> </w:t>
      </w:r>
      <m:oMath>
        <m:sSub>
          <m:e>
            <m:r>
              <m:t>β</m:t>
            </m:r>
          </m:e>
          <m:sub>
            <m:r>
              <m:rPr>
                <m:nor/>
                <m:sty m:val="p"/>
              </m:rPr>
              <m:t>true</m:t>
            </m:r>
          </m:sub>
        </m:sSub>
        <m:r>
          <m:rPr>
            <m:sty m:val="p"/>
          </m:rPr>
          <m:t>=</m:t>
        </m:r>
        <m:r>
          <m:t>0.5</m:t>
        </m:r>
      </m:oMath>
      <w:r>
        <w:t xml:space="preserve">, but its overall 95% interval coverage was 0.915, below the nominal level. The uncertainty-aware model therefore combines the low bias of the count-based formulation with interval coverage close to the nominal 95% level. A supplementary multisite robustness analysis based on three</w:t>
      </w:r>
      <w:r>
        <w:t xml:space="preserve"> </w:t>
      </w:r>
      <w:r>
        <w:rPr>
          <w:i/>
          <w:iCs/>
        </w:rPr>
        <w:t xml:space="preserve">Astragalus scaphoides</w:t>
      </w:r>
      <w:r>
        <w:t xml:space="preserve"> </w:t>
      </w:r>
      <w:r>
        <w:t xml:space="preserve">populations showed the same qualitative conclusion as analysis 2: climate-effect inference was similar with and without explicit uncertainty propagation in that empirical setting (Supplementary Results section S2.5; Figure S5; Tables S7-S10).</w:t>
      </w:r>
    </w:p>
    <w:bookmarkEnd w:id="35"/>
    <w:bookmarkEnd w:id="36"/>
    <w:bookmarkStart w:id="43" w:name="discussion"/>
    <w:p>
      <w:pPr>
        <w:pStyle w:val="Heading1"/>
      </w:pPr>
      <w:r>
        <w:t xml:space="preserve">Discussion</w:t>
      </w:r>
    </w:p>
    <w:bookmarkStart w:id="37"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The simulation analysis clarifies that this apparent robustness does not imply that point-estimate count models are generally well calibrated: when unmodelled year-to-year biological variation is present, they can remain nearly unbiased yet still become overconfident.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together with the simulation result, therefore reflects both the type of trait analysed and the type of transition underlying it.</w:t>
      </w:r>
    </w:p>
    <w:p>
      <w:pPr>
        <w:pStyle w:val="BodyText"/>
      </w:pPr>
      <w:r>
        <w:t xml:space="preserve">We use “materially affects inference” 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Point estimates were far more dispersed relative to their posterior means for mortality-trajectory traits, particularly shape, than for integrated metrics such as population growth rate (λ) and generation time (Table</w:t>
      </w:r>
      <w:r>
        <w:t xml:space="preserve"> </w:t>
      </w:r>
      <w:r>
        <w:t xml:space="preserve">1</w:t>
      </w:r>
      <w:r>
        <w:t xml:space="preserve">). This greater dispersion, together with the displacements shown in Figure</w:t>
      </w:r>
      <w:r>
        <w:t xml:space="preserve"> </w:t>
      </w:r>
      <w:r>
        <w:t xml:space="preserve">3</w:t>
      </w:r>
      <w:r>
        <w:t xml:space="preserve">, indicates that mortality-trajectory traits are more sensitive to sampling uncertainty than the directly observed recruitment response in the climate analysis.</w:t>
      </w:r>
    </w:p>
    <w:bookmarkEnd w:id="37"/>
    <w:bookmarkStart w:id="38"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clear mechanistic basis. Life expectancy and shape are inferred via age-from-stage methods, which project a cohort forward through repeated matrix multiplication, so errors in late-stage survival are not simply carried forward but compounded across projection steps, amplifying small transition-rate uncertainties into large uncertainties in long-term survivorship. Integrated metrics such as population growth rate are buffered against this, because they average over many transitions where errors tend to partially cancel, although they are not wholly immune to sampling uncertainty.</w:t>
      </w:r>
    </w:p>
    <w:p>
      <w:pPr>
        <w:pStyle w:val="BodyText"/>
      </w:pPr>
      <w:r>
        <w:t xml:space="preserve">Several structural features of published matrices may exacerbate this. In our analysis 1 life expectancy-shape set (68 population-level matrix entries from 25 species), 47% (32/68) contain only a single reproductive stage class, 69% (47/68) reach their quasi-stable distribution in less than one life expectancy, and 46% (31/68) contain at least one stage-specific survival estimate of 100% after rescaling any</w:t>
      </w:r>
      <w:r>
        <w:t xml:space="preserve"> </w:t>
      </w:r>
      <m:oMath>
        <m:r>
          <m:t>U</m:t>
        </m:r>
      </m:oMath>
      <w:r>
        <w:t xml:space="preserve"> </w:t>
      </w:r>
      <w:r>
        <w:t xml:space="preserve">columns whose sums exceeded 1 (allowing for floating-point rounding). These are not rare edge cases; they are common features in our dataset that may contribute to displacement of derived trait estimates from the centre of their sampling distributions.</w:t>
      </w:r>
    </w:p>
    <w:p>
      <w:pPr>
        <w:pStyle w:val="BodyText"/>
      </w:pPr>
      <w:r>
        <w:t xml:space="preserve">Consistent with this explanation, within the analysis 1 dataset displacement magnitude increases with both the number of boundary survival stages and the proportion of sampled individuals occupying those stages (Supplementary Methods section S1.12; Table S13; Figure S3), although these associations do not establish a causal mechanism.</w:t>
      </w:r>
    </w:p>
    <w:bookmarkEnd w:id="38"/>
    <w:bookmarkStart w:id="39"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Highly aggregated demographic metrics, such as population growth rate and generation time, were among the least sensitive in our dataset, so analyses focused on them will often be robust to sampling uncertainty, although this should be checked rather than assumed. Analyses of ageing, longevity, or mortality trajectories were more sensitive and warrant particular caution.</w:t>
      </w:r>
    </w:p>
    <w:p>
      <w:pPr>
        <w:pStyle w:val="BodyText"/>
      </w:pPr>
      <w:r>
        <w:t xml:space="preserve">Generalisability is also conditioned by taxonomic representation. Relative to the full current COMPADRE plant database, our final 31-study subset is enriched for herbaceous perennials (64.5% of studies in our subset versus 49.1% in COMPADRE overall) and succulents (16.1% versus 7.8%), while trees (6.5% versus 15.4%) and shrubs (3.2% versus 9.0%) are under-represented; annuals and several less common plant life forms are absent entirely. Our conclusions should therefore be interpreted most directly for perennial herb and succulent systems, and more cautiously for woody or otherwise under-represented life forms.</w:t>
      </w:r>
    </w:p>
    <w:p>
      <w:pPr>
        <w:pStyle w:val="BodyText"/>
      </w:pPr>
      <w:r>
        <w:t xml:space="preserve">Within the analysed subset, the warning signs most relevant to uncertainty propagation were also unevenly distributed. Boundary survival estimates and very small stage counts were concentrated mainly in herbaceous perennial systems and in larger matrices: among 6+-stage population-level entries, 61.1% contained at least one boundary survival estimate and 44.4% had at least one stage with</w:t>
      </w:r>
      <w:r>
        <w:t xml:space="preserve"> </w:t>
      </w:r>
      <m:oMath>
        <m:r>
          <m:t>N</m:t>
        </m:r>
        <m:r>
          <m:rPr>
            <m:sty m:val="p"/>
          </m:rPr>
          <m:t>&lt;</m:t>
        </m:r>
        <m:r>
          <m:t>20</m:t>
        </m:r>
      </m:oMath>
      <w:r>
        <w:t xml:space="preserve">, compared with 36.0% and 26.0%, respectively, for 3-5-stage entries (Table S12). This pattern is consistent with the practical intuition that more weakly observed stage classes create more opportunities for boundary estimates, although woody life forms remain too sparse in our final subset for a strong life-form-specific comparison (Supplementary Methods section S1.11).</w:t>
      </w:r>
    </w:p>
    <w:p>
      <w:pPr>
        <w:pStyle w:val="BodyText"/>
      </w:pPr>
      <w:r>
        <w:t xml:space="preserve">As provisional screening heuristics, analyses warrant particular caution when: any stage has survival &gt;0.95 or &lt;0.05, or is estimated from fewer than 20 individuals; the matrix has only a single reproductive stage class; or the time to quasi-stable distribution is less than one life expectancy (these proposed thresholds are informed by a restricted, taxonomically narrow dataset and have not been validated as decision rules). Conversely, analyses may be less sensitive when survival estimates are well away from boundaries, key transitions are estimated from &gt;50 individuals, and the focal metric is highly integrated (e.g. population growth rate, generation time), but these conditions do not guarantee robustness. The absence of a detectable uncertainty effect (as in our climate-recruitment analysis) should not be taken as general evidence that propagation is unnecessary; robustness is trait- and context-specific.</w:t>
      </w:r>
    </w:p>
    <w:p>
      <w:pPr>
        <w:pStyle w:val="BodyText"/>
      </w:pPr>
      <w:r>
        <w:t xml:space="preserve">Our analyses used count-based, stage-structured (Lefkovitch) matrices, and the consequences of sampling uncertainty may differ for other widely used demographic model types. In age-based (Leslie) models, vital rates are indexed by age rather than stage, so the age-from-stage reconstruction that amplifies late-stage survival errors in our analysis 1 does not arise in the same way, but uncertainty can still accumulate when survival is projected across ages. Analyses built directly from individual-level data, such as integral projection models or capture-recapture survival models, typically estimate vital rates by sharing information across ages or sizes; such partial pooling tends to reduce the variance of weakly informed rates but can induce correlations among them, altering both the magnitude and the structure of the uncertainty that propagates to derived quantities. In those settings, propagating uncertainty from the joint posterior of the fitted vital-rate model, rather than treating rate estimates as independent, would be the natural extension of our approach.</w:t>
      </w:r>
    </w:p>
    <w:bookmarkEnd w:id="39"/>
    <w:bookmarkStart w:id="40"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0"/>
    <w:bookmarkStart w:id="41"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Under the current reproducible COMPADRE-based screen, 23 of 92 post-2010 target studies were retained, with most exclusions reflecting insufficient reporting of transition-specific sample sizes and a smaller number reflecting incompatible estimation approaches.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 “correct” 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1"/>
    <w:bookmarkStart w:id="42"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integrated metrics such as population growth rate and generation time, point estimates were only modestly more dispersed than their posterior means, whereas for mortality-trajectory traits, including life expectancy and especially the shape of the mortality distribution, they were much more dispersed and more sensitive to sampling uncertainty. In these cases, point estimates can be displaced from the centres of their posterior distributions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2"/>
    <w:bookmarkEnd w:id="43"/>
    <w:bookmarkStart w:id="44"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4"/>
    <w:bookmarkStart w:id="45"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5"/>
    <w:bookmarkStart w:id="46" w:name="conflict-of-interest"/>
    <w:p>
      <w:pPr>
        <w:pStyle w:val="Heading1"/>
      </w:pPr>
      <w:r>
        <w:t xml:space="preserve">Conflict of interest</w:t>
      </w:r>
    </w:p>
    <w:p>
      <w:pPr>
        <w:pStyle w:val="FirstParagraph"/>
      </w:pPr>
      <w:r>
        <w:t xml:space="preserve">The authors declare no conflict of interest.</w:t>
      </w:r>
    </w:p>
    <w:bookmarkEnd w:id="46"/>
    <w:bookmarkStart w:id="48"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47">
        <w:r>
          <w:rPr>
            <w:rStyle w:val="Hyperlink"/>
          </w:rPr>
          <w:t xml:space="preserve">https://doi.org/10.5281/zenodo.19474729</w:t>
        </w:r>
      </w:hyperlink>
      <w:r>
        <w:t xml:space="preserve">.</w:t>
      </w:r>
    </w:p>
    <w:bookmarkEnd w:id="48"/>
    <w:bookmarkStart w:id="49"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Comparison of point-estimate and posterior-mean variance.</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Included versus excluded studies in the current target-study screen.</w:t>
      </w:r>
    </w:p>
    <w:p>
      <w:pPr>
        <w:pStyle w:val="Compact"/>
        <w:numPr>
          <w:ilvl w:val="0"/>
          <w:numId w:val="1002"/>
        </w:numPr>
      </w:pPr>
      <w:r>
        <w:rPr>
          <w:b/>
          <w:bCs/>
        </w:rPr>
        <w:t xml:space="preserve">Supplementary Methods S1.9</w:t>
      </w:r>
      <w:r>
        <w:t xml:space="preserve">: Species identities in analysis 1.</w:t>
      </w:r>
    </w:p>
    <w:p>
      <w:pPr>
        <w:pStyle w:val="Compact"/>
        <w:numPr>
          <w:ilvl w:val="0"/>
          <w:numId w:val="1002"/>
        </w:numPr>
      </w:pPr>
      <w:r>
        <w:rPr>
          <w:b/>
          <w:bCs/>
        </w:rPr>
        <w:t xml:space="preserve">Supplementary Methods S1.10</w:t>
      </w:r>
      <w:r>
        <w:t xml:space="preserve">: Multisite robustness extension of analysis 2 (</w:t>
      </w:r>
      <w:r>
        <w:rPr>
          <w:i/>
          <w:iCs/>
        </w:rPr>
        <w:t xml:space="preserve">Astragalus scaphoides</w:t>
      </w:r>
      <w:r>
        <w:t xml:space="preserve">).</w:t>
      </w:r>
    </w:p>
    <w:p>
      <w:pPr>
        <w:pStyle w:val="Compact"/>
        <w:numPr>
          <w:ilvl w:val="0"/>
          <w:numId w:val="1002"/>
        </w:numPr>
      </w:pPr>
      <w:r>
        <w:rPr>
          <w:b/>
          <w:bCs/>
        </w:rPr>
        <w:t xml:space="preserve">Supplementary Methods S1.11</w:t>
      </w:r>
      <w:r>
        <w:t xml:space="preserve">: Boundary survival estimates and small stage-specific sample sizes in analysis 1.</w:t>
      </w:r>
    </w:p>
    <w:p>
      <w:pPr>
        <w:pStyle w:val="Compact"/>
        <w:numPr>
          <w:ilvl w:val="0"/>
          <w:numId w:val="1002"/>
        </w:numPr>
      </w:pPr>
      <w:r>
        <w:rPr>
          <w:b/>
          <w:bCs/>
        </w:rPr>
        <w:t xml:space="preserve">Supplementary Methods S1.12</w:t>
      </w:r>
      <w:r>
        <w:t xml:space="preserve">: Displacement magnitude versus boundary survival structure.</w:t>
      </w:r>
    </w:p>
    <w:p>
      <w:pPr>
        <w:pStyle w:val="Compact"/>
        <w:numPr>
          <w:ilvl w:val="0"/>
          <w:numId w:val="1002"/>
        </w:numPr>
      </w:pPr>
      <w:r>
        <w:rPr>
          <w:b/>
          <w:bCs/>
        </w:rPr>
        <w:t xml:space="preserve">Supplementary Methods S1.13</w:t>
      </w:r>
      <w:r>
        <w:t xml:space="preserve">: Sensitivity to the quasi-stable-distribution truncation threshold.</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Supplementary Results S2.2</w:t>
      </w:r>
      <w:r>
        <w:t xml:space="preserve">: Where do boundary estimates and small stage counts occur?</w:t>
      </w:r>
    </w:p>
    <w:p>
      <w:pPr>
        <w:pStyle w:val="Compact"/>
        <w:numPr>
          <w:ilvl w:val="0"/>
          <w:numId w:val="1002"/>
        </w:numPr>
      </w:pPr>
      <w:r>
        <w:rPr>
          <w:b/>
          <w:bCs/>
        </w:rPr>
        <w:t xml:space="preserve">Supplementary Results S2.3</w:t>
      </w:r>
      <w:r>
        <w:t xml:space="preserve">: Does displacement increase with boundary survival structure?</w:t>
      </w:r>
    </w:p>
    <w:p>
      <w:pPr>
        <w:pStyle w:val="Compact"/>
        <w:numPr>
          <w:ilvl w:val="0"/>
          <w:numId w:val="1002"/>
        </w:numPr>
      </w:pPr>
      <w:r>
        <w:rPr>
          <w:b/>
          <w:bCs/>
        </w:rPr>
        <w:t xml:space="preserve">Supplementary Results S2.4</w:t>
      </w:r>
      <w:r>
        <w:t xml:space="preserve">: Sensitivity of shape estimates to the truncation threshold.</w:t>
      </w:r>
    </w:p>
    <w:p>
      <w:pPr>
        <w:pStyle w:val="Compact"/>
        <w:numPr>
          <w:ilvl w:val="0"/>
          <w:numId w:val="1002"/>
        </w:numPr>
      </w:pPr>
      <w:r>
        <w:rPr>
          <w:b/>
          <w:bCs/>
        </w:rPr>
        <w:t xml:space="preserve">Supplementary Results S2.5</w:t>
      </w:r>
      <w:r>
        <w:t xml:space="preserve">: Multisite robustness analysis in</w:t>
      </w:r>
      <w:r>
        <w:t xml:space="preserve"> </w:t>
      </w:r>
      <w:r>
        <w:rPr>
          <w:i/>
          <w:iCs/>
        </w:rPr>
        <w:t xml:space="preserve">Astragalus scaphoides</w:t>
      </w:r>
      <w:r>
        <w:t xml:space="preserve">.</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Multisite robustness-analysis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Multisite robustness-analysis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Multisite robustness-analysis stage-specific survival-temperature coefficients under no weights and SSD weights.</w:t>
      </w:r>
    </w:p>
    <w:p>
      <w:pPr>
        <w:pStyle w:val="Compact"/>
        <w:numPr>
          <w:ilvl w:val="0"/>
          <w:numId w:val="1002"/>
        </w:numPr>
      </w:pPr>
      <w:r>
        <w:rPr>
          <w:b/>
          <w:bCs/>
        </w:rPr>
        <w:t xml:space="preserve">Table S11</w:t>
      </w:r>
      <w:r>
        <w:t xml:space="preserve">: Comparison of screened target studies that were included versus excluded under the current reproducible COMPADRE-based screen.</w:t>
      </w:r>
    </w:p>
    <w:p>
      <w:pPr>
        <w:pStyle w:val="Compact"/>
        <w:numPr>
          <w:ilvl w:val="0"/>
          <w:numId w:val="1002"/>
        </w:numPr>
      </w:pPr>
      <w:r>
        <w:rPr>
          <w:b/>
          <w:bCs/>
        </w:rPr>
        <w:t xml:space="preserve">Table S12</w:t>
      </w:r>
      <w:r>
        <w:t xml:space="preserve">: Distribution of boundary survival estimates and small stage-specific sample sizes across analysis 1 population-level MPM entries.</w:t>
      </w:r>
    </w:p>
    <w:p>
      <w:pPr>
        <w:pStyle w:val="Compact"/>
        <w:numPr>
          <w:ilvl w:val="0"/>
          <w:numId w:val="1002"/>
        </w:numPr>
      </w:pPr>
      <w:r>
        <w:rPr>
          <w:b/>
          <w:bCs/>
        </w:rPr>
        <w:t xml:space="preserve">Table S13</w:t>
      </w:r>
      <w:r>
        <w:t xml:space="preserve">: Linear models relating displacement magnitude in analysis 1 to boundary-survival predictors.</w:t>
      </w:r>
    </w:p>
    <w:p>
      <w:pPr>
        <w:pStyle w:val="Compact"/>
        <w:numPr>
          <w:ilvl w:val="0"/>
          <w:numId w:val="1002"/>
        </w:numPr>
      </w:pPr>
      <w:r>
        <w:rPr>
          <w:b/>
          <w:bCs/>
        </w:rPr>
        <w:t xml:space="preserve">Table S14</w:t>
      </w:r>
      <w:r>
        <w:t xml:space="preserve">: Sensitivity of analysis 1 shape estimates to the quasi-stable-distribution truncation threshold.</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pPr>
        <w:pStyle w:val="Compact"/>
        <w:numPr>
          <w:ilvl w:val="0"/>
          <w:numId w:val="1002"/>
        </w:numPr>
      </w:pPr>
      <w:r>
        <w:rPr>
          <w:b/>
          <w:bCs/>
        </w:rPr>
        <w:t xml:space="preserve">Figure S3</w:t>
      </w:r>
      <w:r>
        <w:t xml:space="preserve">: Displacement magnitude in analysis 1 versus boundary-survival structure.</w:t>
      </w:r>
    </w:p>
    <w:p>
      <w:pPr>
        <w:pStyle w:val="Compact"/>
        <w:numPr>
          <w:ilvl w:val="0"/>
          <w:numId w:val="1002"/>
        </w:numPr>
      </w:pPr>
      <w:r>
        <w:rPr>
          <w:b/>
          <w:bCs/>
        </w:rPr>
        <w:t xml:space="preserve">Figure S4</w:t>
      </w:r>
      <w:r>
        <w:t xml:space="preserve">: Sensitivity of analysis 1 shape estimates to the quasi-stable-distribution truncation threshold.</w:t>
      </w:r>
    </w:p>
    <w:p>
      <w:pPr>
        <w:pStyle w:val="Compact"/>
        <w:numPr>
          <w:ilvl w:val="0"/>
          <w:numId w:val="1002"/>
        </w:numPr>
      </w:pPr>
      <w:r>
        <w:rPr>
          <w:b/>
          <w:bCs/>
        </w:rPr>
        <w:t xml:space="preserve">Figure S5</w:t>
      </w:r>
      <w:r>
        <w:t xml:space="preserve">: Multisite robustness analysis for</w:t>
      </w:r>
      <w:r>
        <w:t xml:space="preserve"> </w:t>
      </w:r>
      <w:r>
        <w:rPr>
          <w:i/>
          <w:iCs/>
        </w:rPr>
        <w:t xml:space="preserve">Astragalus scaphoides</w:t>
      </w:r>
      <w:r>
        <w:t xml:space="preserve">.</w:t>
      </w:r>
    </w:p>
    <w:p>
      <w:r>
        <w:br w:type="page"/>
      </w:r>
    </w:p>
    <w:bookmarkEnd w:id="49"/>
    <w:bookmarkStart w:id="88"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0">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1">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2">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3">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4">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5">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6">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7">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58">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59">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0">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1">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2">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3">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4">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6">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7">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68">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69">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0">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1">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2">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3">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4">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5">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6">
        <w:r>
          <w:rPr>
            <w:rStyle w:val="Hyperlink"/>
          </w:rPr>
          <w:t xml:space="preserve">https://doi.org/10.1890/15-0846R.1</w:t>
        </w:r>
      </w:hyperlink>
    </w:p>
    <w:p>
      <w:pPr>
        <w:pStyle w:val="BodyText"/>
      </w:pPr>
      <w:r>
        <w:t xml:space="preserve">PRISM Group, Oregon State University (2026) PRISM Climate Data.</w:t>
      </w:r>
      <w:r>
        <w:t xml:space="preserve"> </w:t>
      </w:r>
      <w:hyperlink r:id="rId77">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78">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79">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0">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1">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2">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3">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4">
        <w:r>
          <w:rPr>
            <w:rStyle w:val="Hyperlink"/>
          </w:rPr>
          <w:t xml:space="preserve">https://mc-stan.org/</w:t>
        </w:r>
      </w:hyperlink>
      <w:r>
        <w:t xml:space="preserve"> </w:t>
      </w:r>
      <w:hyperlink r:id="rId85">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6">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7">
        <w:r>
          <w:rPr>
            <w:rStyle w:val="Hyperlink"/>
          </w:rPr>
          <w:t xml:space="preserve">https://doi.org/10.1371/journal.pone.0119163</w:t>
        </w:r>
      </w:hyperlink>
    </w:p>
    <w:p>
      <w:r>
        <w:br w:type="page"/>
      </w:r>
    </w:p>
    <w:bookmarkEnd w:id="88"/>
    <w:bookmarkStart w:id="90" w:name="tables"/>
    <w:p>
      <w:pPr>
        <w:pStyle w:val="Heading1"/>
      </w:pPr>
      <w:r>
        <w:t xml:space="preserve">Tables</w:t>
      </w:r>
    </w:p>
    <w:p>
      <w:pPr>
        <w:pStyle w:val="TableCaption"/>
      </w:pPr>
      <w:bookmarkStart w:id="89" w:name="tab:table-case1-var"/>
      <w:bookmarkEnd w:id="89"/>
      <w:r>
        <w:t xml:space="preserve">Table 1:</w:t>
      </w:r>
      <w:r>
        <w:t xml:space="preserve"> </w:t>
      </w:r>
      <w:r>
        <w:t xml:space="preserve">Across-entry variance ratios for key demographic parameters in analysis 1, with 95% intervals from paired bootstrap resampling of population-level entries. Each ratio is the variance of matrix point estimates divided by the variance of reconstructed posterior means across the same entries; values above 1 indicate greater dispersion of point estimates, not a fraction of variance attributable to sampling. The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1768"/>
        <w:gridCol w:w="1621"/>
      </w:tblGrid>
      <w:tr>
        <w:trPr>
          <w:trHeight w:val="573"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Variance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interval</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 5.06]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 2.55]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 1.15]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 1.29]</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 2.22]</w:t>
            </w:r>
          </w:p>
        </w:tc>
      </w:tr>
      <w:tr>
        <w:trPr>
          <w:trHeight w:val="6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 2.59]</w:t>
            </w:r>
          </w:p>
        </w:tc>
      </w:tr>
    </w:tbl>
    <w:p>
      <w:r>
        <w:br w:type="page"/>
      </w:r>
    </w:p>
    <w:bookmarkEnd w:id="90"/>
    <w:bookmarkStart w:id="115"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posterior uncertainty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 title="" id="92" name="Picture"/>
            <a:graphic>
              <a:graphicData uri="http://schemas.openxmlformats.org/drawingml/2006/picture">
                <pic:pic>
                  <pic:nvPicPr>
                    <pic:cNvPr descr="/Users/jones/GitHubRepos/mpm-uncertainty/docs/manuscript/submission/sampling_uncertainty_mpm_combined_files/b2aba0db56ecc9ec329c1fce4627fa03b466ca53.png" id="93" name="Picture"/>
                    <pic:cNvPicPr>
                      <a:picLocks noChangeArrowheads="1" noChangeAspect="1"/>
                    </pic:cNvPicPr>
                  </pic:nvPicPr>
                  <pic:blipFill>
                    <a:blip r:embed="rId91"/>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4" w:name="fig:fig-main-1a"/>
      <w:bookmarkEnd w:id="94"/>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posterior uncertainty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 title="" id="96" name="Picture"/>
            <a:graphic>
              <a:graphicData uri="http://schemas.openxmlformats.org/drawingml/2006/picture">
                <pic:pic>
                  <pic:nvPicPr>
                    <pic:cNvPr descr="/Users/jones/GitHubRepos/mpm-uncertainty/docs/manuscript/submission/sampling_uncertainty_mpm_combined_files/0d4d790f4c43f8144c7f28ee99151a38ae6a0687.png" id="97" name="Picture"/>
                    <pic:cNvPicPr>
                      <a:picLocks noChangeArrowheads="1" noChangeAspect="1"/>
                    </pic:cNvPicPr>
                  </pic:nvPicPr>
                  <pic:blipFill>
                    <a:blip r:embed="rId95"/>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98" w:name="fig:fig-main-1b"/>
      <w:bookmarkEnd w:id="98"/>
      <w:r>
        <w:t xml:space="preserve">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 title="" id="100" name="Picture"/>
            <a:graphic>
              <a:graphicData uri="http://schemas.openxmlformats.org/drawingml/2006/picture">
                <pic:pic>
                  <pic:nvPicPr>
                    <pic:cNvPr descr="/Users/jones/GitHubRepos/mpm-uncertainty/docs/manuscript/submission/sampling_uncertainty_mpm_combined_files/1d97de92535eeb793298a583ba95629e1012f164.png" id="101" name="Picture"/>
                    <pic:cNvPicPr>
                      <a:picLocks noChangeArrowheads="1" noChangeAspect="1"/>
                    </pic:cNvPicPr>
                  </pic:nvPicPr>
                  <pic:blipFill>
                    <a:blip r:embed="rId99"/>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2" w:name="fig:fig-main-2"/>
      <w:bookmarkEnd w:id="102"/>
      <w:r>
        <w:t xml:space="preserve">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2.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itle="" id="104" name="Picture"/>
            <a:graphic>
              <a:graphicData uri="http://schemas.openxmlformats.org/drawingml/2006/picture">
                <pic:pic>
                  <pic:nvPicPr>
                    <pic:cNvPr descr="/Users/jones/GitHubRepos/mpm-uncertainty/docs/manuscript/submission/sampling_uncertainty_mpm_combined_files/7c9ac97e04e15033da8eb02c12609c6ff06b67c9.png" id="105" name="Picture"/>
                    <pic:cNvPicPr>
                      <a:picLocks noChangeArrowheads="1" noChangeAspect="1"/>
                    </pic:cNvPicPr>
                  </pic:nvPicPr>
                  <pic:blipFill>
                    <a:blip r:embed="rId103"/>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6" w:name="fig:fig-main-3"/>
      <w:bookmarkEnd w:id="106"/>
      <w:r>
        <w:t xml:space="preserve">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2</w:t>
      </w:r>
      <w:r>
        <w:t xml:space="preserve">.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 title="" id="108" name="Picture"/>
            <a:graphic>
              <a:graphicData uri="http://schemas.openxmlformats.org/drawingml/2006/picture">
                <pic:pic>
                  <pic:nvPicPr>
                    <pic:cNvPr descr="/Users/jones/GitHubRepos/mpm-uncertainty/docs/manuscript/submission/sampling_uncertainty_mpm_combined_files/4d6e73f8b7e26648688ff56538b870046b569a71.png" id="109" name="Picture"/>
                    <pic:cNvPicPr>
                      <a:picLocks noChangeArrowheads="1" noChangeAspect="1"/>
                    </pic:cNvPicPr>
                  </pic:nvPicPr>
                  <pic:blipFill>
                    <a:blip r:embed="rId107"/>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0" w:name="fig:fig-main-4"/>
      <w:bookmarkEnd w:id="110"/>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w:t>
      </w:r>
    </w:p>
    <w:p>
      <w:r>
        <w:br w:type="page"/>
      </w:r>
    </w:p>
    <w:p>
      <w:pPr>
        <w:pStyle w:val="CaptionedFigure"/>
      </w:pPr>
      <w:r>
        <w:drawing>
          <wp:inline>
            <wp:extent cx="5727700" cy="4455476"/>
            <wp:effectExtent b="0" l="0" r="0" t="0"/>
            <wp:docPr descr="Figure 6: Simulation analysis of climate effects on fecundity, showing that modelling year-to-year process variation improves interval performance while keeping bias low. The upper row shows bias, and the lower row shows 95% interval coverage, across four sample sizes and three true effect sizes (beta = 0.1, 0.3, and 0.5). The Gaussian log-link point-estimate model (purple) has little average bias but undercovers, especially at stronger climate effects. The Poisson point-estimate model (blue) is nearly unbiased but its intervals miss the true effect too often, especially at larger sample sizes. The uncertainty-aware Poisson model (green) keeps coverage close to the expected 95% level across the full design." title="" id="112" name="Picture"/>
            <a:graphic>
              <a:graphicData uri="http://schemas.openxmlformats.org/drawingml/2006/picture">
                <pic:pic>
                  <pic:nvPicPr>
                    <pic:cNvPr descr="/Users/jones/GitHubRepos/mpm-uncertainty/docs/manuscript/submission/sampling_uncertainty_mpm_combined_files/d55ce53c4bbd0e5d0036a5a9bf2b0c3c47fdc349.png" id="113" name="Picture"/>
                    <pic:cNvPicPr>
                      <a:picLocks noChangeArrowheads="1" noChangeAspect="1"/>
                    </pic:cNvPicPr>
                  </pic:nvPicPr>
                  <pic:blipFill>
                    <a:blip r:embed="rId111"/>
                    <a:stretch>
                      <a:fillRect/>
                    </a:stretch>
                  </pic:blipFill>
                  <pic:spPr bwMode="auto">
                    <a:xfrm>
                      <a:off x="0" y="0"/>
                      <a:ext cx="5727700" cy="4455476"/>
                    </a:xfrm>
                    <a:prstGeom prst="rect">
                      <a:avLst/>
                    </a:prstGeom>
                    <a:noFill/>
                    <a:ln w="9525">
                      <a:noFill/>
                      <a:headEnd/>
                      <a:tailEnd/>
                    </a:ln>
                  </pic:spPr>
                </pic:pic>
              </a:graphicData>
            </a:graphic>
          </wp:inline>
        </w:drawing>
      </w:r>
    </w:p>
    <w:p>
      <w:pPr>
        <w:pStyle w:val="ImageCaption"/>
      </w:pPr>
      <w:bookmarkStart w:id="114" w:name="fig:fig-main-5"/>
      <w:bookmarkEnd w:id="114"/>
      <w:r>
        <w:t xml:space="preserve">Figure 6: Simulation analysis of climate effects on fecundity, showing that modelling year-to-year process variation improves interval performance while keeping bias low. The upper row shows bias, and the lower row shows 95% interval coverage, across four sample sizes and three true effect sizes (beta = 0.1, 0.3, and 0.5). The Gaussian log-link point-estimate model (purple) has little average bias but undercovers, especially at stronger climate effects. The Poisson point-estimate model (blue) is nearly unbiased but its intervals miss the true effect too often, especially at larger sample sizes. The uncertainty-aware Poisson model (green) keeps coverage close to the expected 95% level across the full design.</w:t>
      </w:r>
    </w:p>
    <w:p>
      <w:r>
        <w:br w:type="page"/>
      </w:r>
    </w:p>
    <w:bookmarkEnd w:id="115"/>
    <w:bookmarkStart w:id="129" w:name="supplementary-methods"/>
    <w:p>
      <w:pPr>
        <w:pStyle w:val="Heading1"/>
      </w:pPr>
      <w:r>
        <w:t xml:space="preserve">Supplementary Methods</w:t>
      </w:r>
    </w:p>
    <w:bookmarkStart w:id="116" w:name="X8db80bf293cd88c959aa74ef5a7560efca860c5"/>
    <w:p>
      <w:pPr>
        <w:pStyle w:val="Heading2"/>
      </w:pPr>
      <w:r>
        <w:t xml:space="preserve">S1.1 Sampling-distribution workflow used for each MPM</w:t>
      </w:r>
    </w:p>
    <w:p>
      <w:pPr>
        <w:pStyle w:val="FirstParagraph"/>
      </w:pPr>
      <w:r>
        <w:t xml:space="preserve">We reconstructed transition-rate uncertainty by direct conjugate posterior sampling, using 2,000 draws per MPM for the illustrative example and 1,000 for analysis 1. For each origin-stage column of</w:t>
      </w:r>
      <w:r>
        <w:t xml:space="preserve"> </w:t>
      </w:r>
      <m:oMath>
        <m:r>
          <m:t>U</m:t>
        </m:r>
      </m:oMath>
      <w:r>
        <w:t xml:space="preserve">, allowed living transitions and death were drawn jointly from</w:t>
      </w:r>
      <w:r>
        <w:t xml:space="preserve"> </w:t>
      </w:r>
      <m:oMath>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r>
          <m:rPr>
            <m:sty m:val="p"/>
          </m:rPr>
          <m:t>(</m:t>
        </m:r>
        <m:sSub>
          <m:e>
            <m:r>
              <m:t>k</m:t>
            </m:r>
          </m:e>
          <m:sub>
            <m:r>
              <m:t>1</m:t>
            </m:r>
          </m:sub>
        </m:sSub>
        <m:r>
          <m:rPr>
            <m:sty m:val="p"/>
          </m:rPr>
          <m:t>+</m:t>
        </m:r>
        <m:r>
          <m:t>1</m:t>
        </m:r>
        <m:r>
          <m:rPr>
            <m:sty m:val="p"/>
          </m:rPr>
          <m:t>,</m:t>
        </m:r>
        <m:r>
          <m:rPr>
            <m:sty m:val="p"/>
          </m:rPr>
          <m:t>…</m:t>
        </m:r>
        <m:r>
          <m:rPr>
            <m:sty m:val="p"/>
          </m:rPr>
          <m:t>,</m:t>
        </m:r>
        <m:sSub>
          <m:e>
            <m:r>
              <m:t>k</m:t>
            </m:r>
          </m:e>
          <m:sub>
            <m:r>
              <m:t>m</m:t>
            </m:r>
          </m:sub>
        </m:sSub>
        <m:r>
          <m:rPr>
            <m:sty m:val="p"/>
          </m:rPr>
          <m:t>+</m:t>
        </m:r>
        <m:r>
          <m:t>1</m:t>
        </m:r>
        <m:r>
          <m:rPr>
            <m:sty m:val="p"/>
          </m:rPr>
          <m:t>)</m:t>
        </m:r>
      </m:oMath>
      <w:r>
        <w:t xml:space="preserve">, corresponding to a multinomial likelihood and a</w:t>
      </w:r>
      <w:r>
        <w:t xml:space="preserve"> </w:t>
      </w:r>
      <m:oMath>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r>
          <m:rPr>
            <m:sty m:val="p"/>
          </m:rPr>
          <m:t>(</m:t>
        </m:r>
        <m:r>
          <m:t>1</m:t>
        </m:r>
        <m:r>
          <m:rPr>
            <m:sty m:val="p"/>
          </m:rPr>
          <m:t>,</m:t>
        </m:r>
        <m:r>
          <m:rPr>
            <m:sty m:val="p"/>
          </m:rPr>
          <m:t>…</m:t>
        </m:r>
        <m:r>
          <m:rPr>
            <m:sty m:val="p"/>
          </m:rPr>
          <m:t>,</m:t>
        </m:r>
        <m:r>
          <m:t>1</m:t>
        </m:r>
        <m:r>
          <m:rPr>
            <m:sty m:val="p"/>
          </m:rPr>
          <m:t>)</m:t>
        </m:r>
      </m:oMath>
      <w:r>
        <w:t xml:space="preserve"> </w:t>
      </w:r>
      <w:r>
        <w:t xml:space="preserve">prior. Counts</w:t>
      </w:r>
      <w:r>
        <w:t xml:space="preserve"> </w:t>
      </w:r>
      <m:oMath>
        <m:sSub>
          <m:e>
            <m:r>
              <m:t>k</m:t>
            </m:r>
          </m:e>
          <m:sub>
            <m:r>
              <m:t>m</m:t>
            </m:r>
          </m:sub>
        </m:sSub>
      </m:oMath>
      <w:r>
        <w:t xml:space="preserve"> </w:t>
      </w:r>
      <w:r>
        <w:t xml:space="preserve">were reconstructed as transition rates multiplied by stage sample size, after rescaling any</w:t>
      </w:r>
      <w:r>
        <w:t xml:space="preserve"> </w:t>
      </w:r>
      <m:oMath>
        <m:r>
          <m:t>U</m:t>
        </m:r>
      </m:oMath>
      <w:r>
        <w:t xml:space="preserve"> </w:t>
      </w:r>
      <w:r>
        <w:t xml:space="preserve">column whose sum exceeded 1. These reconstructed counts may be fractional for rounded or averaged matrix entries. Each allowed reproductive rate was drawn from</w:t>
      </w:r>
      <w:r>
        <w:t xml:space="preserve"> </w:t>
      </w:r>
      <m:oMath>
        <m:r>
          <m:rPr>
            <m:sty m:val="p"/>
          </m:rPr>
          <m:t>G</m:t>
        </m:r>
        <m:r>
          <m:rPr>
            <m:sty m:val="p"/>
          </m:rPr>
          <m:t>a</m:t>
        </m:r>
        <m:r>
          <m:rPr>
            <m:sty m:val="p"/>
          </m:rPr>
          <m:t>m</m:t>
        </m:r>
        <m:r>
          <m:rPr>
            <m:sty m:val="p"/>
          </m:rPr>
          <m:t>m</m:t>
        </m:r>
        <m:r>
          <m:rPr>
            <m:sty m:val="p"/>
          </m:rPr>
          <m:t>a</m:t>
        </m:r>
        <m:r>
          <m:rPr>
            <m:sty m:val="p"/>
          </m:rPr>
          <m:t>(</m:t>
        </m:r>
        <m:r>
          <m:t>1</m:t>
        </m:r>
        <m:r>
          <m:rPr>
            <m:sty m:val="p"/>
          </m:rPr>
          <m:t>+</m:t>
        </m:r>
        <m:r>
          <m:t>k</m:t>
        </m:r>
        <m:r>
          <m:rPr>
            <m:sty m:val="p"/>
          </m:rPr>
          <m:t>,</m:t>
        </m:r>
        <m:r>
          <m:rPr>
            <m:nor/>
            <m:sty m:val="p"/>
          </m:rPr>
          <m:t>rate</m:t>
        </m:r>
        <m:r>
          <m:rPr>
            <m:sty m:val="p"/>
          </m:rPr>
          <m:t>=</m:t>
        </m:r>
        <m:r>
          <m:t>n</m:t>
        </m:r>
        <m:r>
          <m:rPr>
            <m:sty m:val="p"/>
          </m:rPr>
          <m:t>)</m:t>
        </m:r>
      </m:oMath>
      <w:r>
        <w:t xml:space="preserve">, where</w:t>
      </w:r>
      <w:r>
        <w:t xml:space="preserve"> </w:t>
      </w:r>
      <m:oMath>
        <m:r>
          <m:t>k</m:t>
        </m:r>
        <m:r>
          <m:rPr>
            <m:sty m:val="p"/>
          </m:rPr>
          <m:t>=</m:t>
        </m:r>
        <m:r>
          <m:t>n</m:t>
        </m:r>
        <m:sSub>
          <m:e>
            <m:r>
              <m:t>F</m:t>
            </m:r>
          </m:e>
          <m:sub>
            <m:r>
              <m:t>i</m:t>
            </m:r>
            <m:r>
              <m:t>j</m:t>
            </m:r>
          </m:sub>
        </m:sSub>
      </m:oMath>
      <w:r>
        <w:t xml:space="preserve">, corresponding to a Poisson likelihood and an improper flat prior on the non-negative rate scale. These are posterior parameter draws, not bootstrap resamples of observations. We rebuilt each MPM and recalculated derived quantities for every draw.</w:t>
      </w:r>
    </w:p>
    <w:p>
      <w:pPr>
        <w:pStyle w:val="BodyText"/>
      </w:pPr>
      <w:r>
        <w:t xml:space="preserve">Allowed-transition masks default to positive entries in the focal matrix; where masks are constructed across matrices, an entry is allowed if positive in any contributing matrix. Other entries remain zero. Death is included even when its reconstructed count is zero, provided the column has an allowed living transition. This does not establish that excluded zero-valued transitions are biologically impossible. A missing sample size leaves its column unchanged; a sample size of zero produces a missing simulated column. Neither case supplies a posterior uncertainty estimate for that column. Figure 1C displays normalised marginal binomial or Poisson likelihood curves under flat priors over the plotted range; these are distinct from the joint Dirichlet draws used for derived quantities.</w:t>
      </w:r>
    </w:p>
    <w:p>
      <w:pPr>
        <w:pStyle w:val="BodyText"/>
      </w:pPr>
      <w:r>
        <w:t xml:space="preserve">Point estimates correspond to values derived directly from the reported matrix entries; uncertainty-aware summaries describe the reconstructed posterior distributions.</w:t>
      </w:r>
    </w:p>
    <w:bookmarkEnd w:id="116"/>
    <w:bookmarkStart w:id="117"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17"/>
    <w:bookmarkStart w:id="118"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posterior sampling. This captures within-year sampling variation but does not fully represent between-year process variation, so the resulting uncertainty should be interpreted conservatively.</w:t>
      </w:r>
    </w:p>
    <w:bookmarkEnd w:id="118"/>
    <w:bookmarkStart w:id="119"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three main analyses:</w:t>
      </w:r>
    </w:p>
    <w:p>
      <w:pPr>
        <w:pStyle w:val="Compact"/>
        <w:numPr>
          <w:ilvl w:val="0"/>
          <w:numId w:val="1003"/>
        </w:numPr>
      </w:pPr>
      <w:r>
        <w:t xml:space="preserve">Analysis 1 models use normal priors for location/slope terms and half-normal priors for positive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Gaussian-process recruitment models with normal priors on GP hyperparameters and coefficients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plus spring-temperature models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Compact"/>
        <w:numPr>
          <w:ilvl w:val="0"/>
          <w:numId w:val="1003"/>
        </w:numPr>
      </w:pPr>
      <w:r>
        <w:t xml:space="preserve">Analysis 3 fits its model with year-specific process variation using</w:t>
      </w:r>
      <w:r>
        <w:t xml:space="preserve"> </w:t>
      </w:r>
      <w:r>
        <w:rPr>
          <w:rStyle w:val="VerbatimChar"/>
        </w:rPr>
        <w:t xml:space="preserve">models/poisson_climate_latent.stan</w:t>
      </w:r>
      <w:r>
        <w:t xml:space="preserve">: the intercept and climate coefficient have</w:t>
      </w:r>
      <w:r>
        <w:t xml:space="preserve"> </w:t>
      </w:r>
      <m:oMath>
        <m:r>
          <m:rPr>
            <m:nor/>
            <m:sty m:val="p"/>
          </m:rPr>
          <m:t>Normal</m:t>
        </m:r>
        <m:r>
          <m:rPr>
            <m:sty m:val="p"/>
          </m:rPr>
          <m:t>(</m:t>
        </m:r>
        <m:r>
          <m:t>0</m:t>
        </m:r>
        <m:r>
          <m:rPr>
            <m:sty m:val="p"/>
          </m:rPr>
          <m:t>,</m:t>
        </m:r>
        <m:r>
          <m:t>2</m:t>
        </m:r>
        <m:r>
          <m:rPr>
            <m:sty m:val="p"/>
          </m:rPr>
          <m:t>)</m:t>
        </m:r>
      </m:oMath>
      <w:r>
        <w:t xml:space="preserve"> </w:t>
      </w:r>
      <w:r>
        <w:t xml:space="preserve">and</w:t>
      </w:r>
      <w:r>
        <w:t xml:space="preserve"> </w:t>
      </w:r>
      <m:oMath>
        <m:r>
          <m:rPr>
            <m:nor/>
            <m:sty m:val="p"/>
          </m:rPr>
          <m:t>Normal</m:t>
        </m:r>
        <m:r>
          <m:rPr>
            <m:sty m:val="p"/>
          </m:rPr>
          <m:t>(</m:t>
        </m:r>
        <m:r>
          <m:t>0</m:t>
        </m:r>
        <m:r>
          <m:rPr>
            <m:sty m:val="p"/>
          </m:rPr>
          <m:t>,</m:t>
        </m:r>
        <m:r>
          <m:t>1</m:t>
        </m:r>
        <m:r>
          <m:rPr>
            <m:sty m:val="p"/>
          </m:rPr>
          <m:t>)</m:t>
        </m:r>
      </m:oMath>
      <w:r>
        <w:t xml:space="preserve"> </w:t>
      </w:r>
      <w:r>
        <w:t xml:space="preserve">priors, respectively; the process standard deviation has an</w:t>
      </w:r>
      <w:r>
        <w:t xml:space="preserve"> </w:t>
      </w:r>
      <m:oMath>
        <m:r>
          <m:rPr>
            <m:nor/>
            <m:sty m:val="p"/>
          </m:rPr>
          <m:t>Exponential</m:t>
        </m:r>
        <m:r>
          <m:rPr>
            <m:sty m:val="p"/>
          </m:rPr>
          <m:t>(</m:t>
        </m:r>
        <m:r>
          <m:t>1</m:t>
        </m:r>
        <m:r>
          <m:rPr>
            <m:sty m:val="p"/>
          </m:rPr>
          <m:t>)</m:t>
        </m:r>
      </m:oMath>
      <w:r>
        <w:t xml:space="preserve"> </w:t>
      </w:r>
      <w:r>
        <w:t xml:space="preserve">prior, and the standardised year effects have</w:t>
      </w:r>
      <w:r>
        <w:t xml:space="preserve"> </w:t>
      </w:r>
      <m:oMath>
        <m:r>
          <m:rPr>
            <m:nor/>
            <m:sty m:val="p"/>
          </m:rPr>
          <m:t>Normal</m:t>
        </m:r>
        <m:r>
          <m:rPr>
            <m:sty m:val="p"/>
          </m:rPr>
          <m:t>(</m:t>
        </m:r>
        <m:r>
          <m:t>0</m:t>
        </m:r>
        <m:r>
          <m:rPr>
            <m:sty m:val="p"/>
          </m:rPr>
          <m:t>,</m:t>
        </m:r>
        <m:r>
          <m:t>1</m:t>
        </m:r>
        <m:r>
          <m:rPr>
            <m:sty m:val="p"/>
          </m:rPr>
          <m:t>)</m:t>
        </m:r>
      </m:oMath>
      <w:r>
        <w:t xml:space="preserve"> </w:t>
      </w:r>
      <w:r>
        <w:t xml:space="preserve">priors. Its Gaussian and Poisson point-estimate models use</w:t>
      </w:r>
      <w:r>
        <w:t xml:space="preserve"> </w:t>
      </w:r>
      <w:r>
        <w:rPr>
          <w:rStyle w:val="VerbatimChar"/>
        </w:rPr>
        <w:t xml:space="preserve">stats::glm()</w:t>
      </w:r>
      <w:r>
        <w:t xml:space="preserve"> </w:t>
      </w:r>
      <w:r>
        <w:t xml:space="preserve">and have no Bayesian priors.</w:t>
      </w:r>
    </w:p>
    <w:p>
      <w:pPr>
        <w:pStyle w:val="Compact"/>
        <w:numPr>
          <w:ilvl w:val="0"/>
          <w:numId w:val="1003"/>
        </w:numPr>
      </w:pPr>
      <w:r>
        <w:t xml:space="preserve">The multisite</w:t>
      </w:r>
      <w:r>
        <w:t xml:space="preserve"> </w:t>
      </w:r>
      <w:r>
        <w:rPr>
          <w:i/>
          <w:iCs/>
        </w:rPr>
        <w:t xml:space="preserve">Astragalus scaphoides</w:t>
      </w:r>
      <w:r>
        <w:t xml:space="preserve"> </w:t>
      </w:r>
      <w:r>
        <w:t xml:space="preserve">robustness analysis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4"/>
        </w:numPr>
      </w:pPr>
      <w:r>
        <w:t xml:space="preserve">Analysis 3 (</w:t>
      </w:r>
      <w:r>
        <w:rPr>
          <w:rStyle w:val="VerbatimChar"/>
        </w:rPr>
        <w:t xml:space="preserve">scripts/S16_analysis_3_simulation.R</w:t>
      </w:r>
      <w:r>
        <w:t xml:space="preserve">):</w:t>
      </w:r>
      <w:r>
        <w:t xml:space="preserve"> </w:t>
      </w:r>
      <w:r>
        <w:rPr>
          <w:rStyle w:val="VerbatimChar"/>
        </w:rPr>
        <w:t xml:space="preserve">chains = 4</w:t>
      </w:r>
      <w:r>
        <w:t xml:space="preserve">,</w:t>
      </w:r>
      <w:r>
        <w:t xml:space="preserve"> </w:t>
      </w:r>
      <w:r>
        <w:rPr>
          <w:rStyle w:val="VerbatimChar"/>
        </w:rPr>
        <w:t xml:space="preserve">iter = 3000</w:t>
      </w:r>
      <w:r>
        <w:t xml:space="preserve">,</w:t>
      </w:r>
      <w:r>
        <w:t xml:space="preserve"> </w:t>
      </w:r>
      <w:r>
        <w:rPr>
          <w:rStyle w:val="VerbatimChar"/>
        </w:rPr>
        <w:t xml:space="preserve">warmup = 1500</w:t>
      </w:r>
      <w:r>
        <w:t xml:space="preserve">, and a separate reproducible seed for each simulated time series.</w:t>
      </w:r>
    </w:p>
    <w:p>
      <w:pPr>
        <w:pStyle w:val="Compact"/>
        <w:numPr>
          <w:ilvl w:val="0"/>
          <w:numId w:val="1004"/>
        </w:numPr>
      </w:pPr>
      <w:r>
        <w:t xml:space="preserve">Multisite</w:t>
      </w:r>
      <w:r>
        <w:t xml:space="preserve"> </w:t>
      </w:r>
      <w:r>
        <w:rPr>
          <w:i/>
          <w:iCs/>
        </w:rPr>
        <w:t xml:space="preserve">Astragalus scaphoides</w:t>
      </w:r>
      <w:r>
        <w:t xml:space="preserve"> </w:t>
      </w:r>
      <w:r>
        <w:t xml:space="preserve">robustness analysis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119"/>
    <w:bookmarkStart w:id="120" w:name="Xfc1757ff7d617a25f149ff0e411af1965911e9e"/>
    <w:p>
      <w:pPr>
        <w:pStyle w:val="Heading2"/>
      </w:pPr>
      <w:r>
        <w:t xml:space="preserve">S1.5 Comparison of point-estimate and posterior-mean variance</w:t>
      </w:r>
    </w:p>
    <w:p>
      <w:pPr>
        <w:pStyle w:val="FirstParagraph"/>
      </w:pPr>
      <w:r>
        <w:t xml:space="preserve">For each parameter, we compared variance across population-level MPM entries using:</w:t>
      </w:r>
    </w:p>
    <w:p>
      <w:pPr>
        <w:pStyle w:val="Compact"/>
        <w:numPr>
          <w:ilvl w:val="0"/>
          <w:numId w:val="1005"/>
        </w:numPr>
      </w:pPr>
      <w:r>
        <w:t xml:space="preserve">the value derived from each matrix point estimate,</w:t>
      </w:r>
      <w:r>
        <w:t xml:space="preserve"> </w:t>
      </w:r>
      <m:oMath>
        <m:sSub>
          <m:e>
            <m:acc>
              <m:accPr>
                <m:chr m:val="̂"/>
              </m:accPr>
              <m:e>
                <m:r>
                  <m:t>θ</m:t>
                </m:r>
              </m:e>
            </m:acc>
          </m:e>
          <m:sub>
            <m:r>
              <m:t>p</m:t>
            </m:r>
          </m:sub>
        </m:sSub>
      </m:oMath>
      <w:r>
        <w:t xml:space="preserve">;</w:t>
      </w:r>
    </w:p>
    <w:p>
      <w:pPr>
        <w:pStyle w:val="Compact"/>
        <w:numPr>
          <w:ilvl w:val="0"/>
          <w:numId w:val="1005"/>
        </w:numPr>
      </w:pPr>
      <w:r>
        <w:t xml:space="preserve">the mean of its reconstructed posterior distribution,</w:t>
      </w:r>
      <w:r>
        <w:t xml:space="preserve"> </w:t>
      </w:r>
      <m:oMath>
        <m:sSub>
          <m:e>
            <m:acc>
              <m:accPr>
                <m:chr m:val="‾"/>
              </m:accPr>
              <m:e>
                <m:r>
                  <m:t>θ</m:t>
                </m:r>
              </m:e>
            </m:acc>
          </m:e>
          <m:sub>
            <m:r>
              <m:t>p</m:t>
            </m:r>
          </m:sub>
        </m:sSub>
      </m:oMath>
      <w:r>
        <w:t xml:space="preserve">.</w:t>
      </w:r>
    </w:p>
    <w:p>
      <w:pPr>
        <w:pStyle w:val="FirstParagraph"/>
      </w:pPr>
      <w:r>
        <w:t xml:space="preserve">For population-level entries</w:t>
      </w:r>
      <w:r>
        <w:t xml:space="preserve"> </w:t>
      </w:r>
      <m:oMath>
        <m:r>
          <m:t>p</m:t>
        </m:r>
      </m:oMath>
      <w:r>
        <w:t xml:space="preserve">, the reported ratio is Eq. (14):</w:t>
      </w:r>
    </w:p>
    <w:p>
      <w:pPr>
        <w:pStyle w:val="BodyText"/>
      </w:pPr>
      <m:oMathPara>
        <m:oMathParaPr>
          <m:jc m:val="center"/>
        </m:oMathParaPr>
        <m:oMath>
          <m:r>
            <m:rPr>
              <m:nor/>
              <m:sty m:val="p"/>
            </m:rPr>
            <m:t>ratio</m:t>
          </m:r>
          <m:r>
            <m:rPr>
              <m:sty m:val="p"/>
            </m:rPr>
            <m:t>=</m:t>
          </m:r>
          <m:f>
            <m:fPr>
              <m:type m:val="bar"/>
            </m:fPr>
            <m:num>
              <m:sSub>
                <m:e>
                  <m:r>
                    <m:rPr>
                      <m:sty m:val="p"/>
                    </m:rPr>
                    <m:t>Var</m:t>
                  </m:r>
                </m:e>
                <m:sub>
                  <m:r>
                    <m:t>p</m:t>
                  </m:r>
                </m:sub>
              </m:sSub>
              <m:r>
                <m:rPr>
                  <m:sty m:val="p"/>
                </m:rPr>
                <m:t>(</m:t>
              </m:r>
              <m:sSub>
                <m:e>
                  <m:acc>
                    <m:accPr>
                      <m:chr m:val="̂"/>
                    </m:accPr>
                    <m:e>
                      <m:r>
                        <m:t>θ</m:t>
                      </m:r>
                    </m:e>
                  </m:acc>
                </m:e>
                <m:sub>
                  <m:r>
                    <m:t>p</m:t>
                  </m:r>
                </m:sub>
              </m:sSub>
              <m:r>
                <m:rPr>
                  <m:sty m:val="p"/>
                </m:rPr>
                <m:t>)</m:t>
              </m:r>
            </m:num>
            <m:den>
              <m:sSub>
                <m:e>
                  <m:r>
                    <m:rPr>
                      <m:sty m:val="p"/>
                    </m:rPr>
                    <m:t>Var</m:t>
                  </m:r>
                </m:e>
                <m:sub>
                  <m:r>
                    <m:t>p</m:t>
                  </m:r>
                </m:sub>
              </m:sSub>
              <m:r>
                <m:rPr>
                  <m:sty m:val="p"/>
                </m:rPr>
                <m:t>(</m:t>
              </m:r>
              <m:sSub>
                <m:e>
                  <m:acc>
                    <m:accPr>
                      <m:chr m:val="‾"/>
                    </m:accPr>
                    <m:e>
                      <m:r>
                        <m:t>θ</m:t>
                      </m:r>
                    </m:e>
                  </m:acc>
                </m:e>
                <m:sub>
                  <m:r>
                    <m:t>p</m:t>
                  </m:r>
                </m:sub>
              </m:sSub>
              <m:r>
                <m:rPr>
                  <m:sty m:val="p"/>
                </m:rPr>
                <m:t>)</m:t>
              </m:r>
            </m:den>
          </m:f>
          <m:r>
            <m:rPr>
              <m:sty m:val="p"/>
            </m:rPr>
            <m:t>.</m:t>
          </m:r>
          <m:r>
            <m:t>  </m:t>
          </m:r>
          <m:r>
            <m:rPr>
              <m:sty m:val="p"/>
            </m:rPr>
            <m:t>(</m:t>
          </m:r>
          <m:r>
            <m:t>14</m:t>
          </m:r>
          <m:r>
            <m:rPr>
              <m:sty m:val="p"/>
            </m:rPr>
            <m:t>)</m:t>
          </m:r>
        </m:oMath>
      </m:oMathPara>
    </w:p>
    <w:p>
      <w:pPr>
        <w:pStyle w:val="FirstParagraph"/>
      </w:pPr>
      <w:r>
        <w:t xml:space="preserve">Ratios above 1 indicate that point estimates are more dispersed than posterior means. We obtained 95% intervals by resampling population-level entries with replacement 2,000 times, keeping each point estimate paired with its posterior mean. This descriptive ratio does not partition sampling and biological variance.</w:t>
      </w:r>
    </w:p>
    <w:bookmarkEnd w:id="120"/>
    <w:bookmarkStart w:id="121"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 The quasibinomial model estimates dispersion, whereas the binomial model fixes it at 1; together with the different weights, this prevents attributing interval-width differences solely to sampling uncertainty. Intervals are coefficient estimates ± 1.96 standard errors (95% Wald confidence intervals). Stages failing the fitting criteria (at least five usable years, variation in temperature, and both survivors and deaths) are labelled as not estimable.</w:t>
      </w:r>
    </w:p>
    <w:bookmarkEnd w:id="121"/>
    <w:bookmarkStart w:id="122"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2"/>
    <w:bookmarkStart w:id="123"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these eight studies were excluded from this screen-based comparison.</w:t>
      </w:r>
    </w:p>
    <w:bookmarkEnd w:id="123"/>
    <w:bookmarkStart w:id="124" w:name="Xa94d0151380c98c8f0742d728782bf95f083eb5"/>
    <w:p>
      <w:pPr>
        <w:pStyle w:val="Heading2"/>
      </w:pPr>
      <w:r>
        <w:t xml:space="preserve">S1.9 Study and species identities in analysis 1</w:t>
      </w:r>
    </w:p>
    <w:p>
      <w:pPr>
        <w:pStyle w:val="FirstParagraph"/>
      </w:pPr>
      <w:r>
        <w:t xml:space="preserve">The analysis 1 life expectancy-shape models used 68 population-level matrix entries representing 25 species. This is a different subset from the boundary/small-sample audit in section S1.11. Study-level and species-level identities (including COMPADRE</w:t>
      </w:r>
      <w:r>
        <w:t xml:space="preserve"> </w:t>
      </w:r>
      <w:r>
        <w:rPr>
          <w:rStyle w:val="VerbatimChar"/>
        </w:rPr>
        <w:t xml:space="preserve">SpeciesAuthor</w:t>
      </w:r>
      <w:r>
        <w:t xml:space="preserve"> </w:t>
      </w:r>
      <w:r>
        <w:t xml:space="preserve">labels) are provided in Table S6.</w:t>
      </w:r>
    </w:p>
    <w:bookmarkEnd w:id="124"/>
    <w:bookmarkStart w:id="125" w:name="Xe17a52e6c92e8ef1d01ed7772a11f9653dc0919"/>
    <w:p>
      <w:pPr>
        <w:pStyle w:val="Heading2"/>
      </w:pPr>
      <w:r>
        <w:t xml:space="preserve">S1.10 Multisite robustness extension of analysis 2 (</w:t>
      </w:r>
      <w:r>
        <w:rPr>
          <w:i/>
          <w:iCs/>
        </w:rPr>
        <w:t xml:space="preserve">Astragalus scaphoides</w:t>
      </w:r>
      <w:r>
        <w:t xml:space="preserve">)</w:t>
      </w:r>
    </w:p>
    <w:p>
      <w:pPr>
        <w:pStyle w:val="FirstParagraph"/>
      </w:pPr>
      <w:r>
        <w:t xml:space="preserve">To evaluate whether the analysis 2 conclusions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as a supplementary robustness analysis.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compares model formulations within each site rather than isolating the contribution of uncertainty propagation.</w:t>
      </w:r>
    </w:p>
    <w:p>
      <w:pPr>
        <w:pStyle w:val="BodyText"/>
      </w:pPr>
      <w:r>
        <w:t xml:space="preserve">For stage-specific survival in this supplementary robustness analysis, we used the same pair of formulations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 linear predictor and logit link are shared, but weighting and dispersion assumptions also differ, as described in section S1.6; the comparison therefore does not isolate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125"/>
    <w:bookmarkStart w:id="126"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a separate set of 68 population-level entries from 28 species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This audit used unscaled</w:t>
      </w:r>
      <w:r>
        <w:t xml:space="preserve"> </w:t>
      </w:r>
      <m:oMath>
        <m:r>
          <m:t>U</m:t>
        </m:r>
      </m:oMath>
      <w:r>
        <w:t xml:space="preserve"> </w:t>
      </w:r>
      <w:r>
        <w:t xml:space="preserve">matrices, with exactly 100% survival in 22/68 entries, rather than the rescaled matrices and model subset described in the main Discussion. These summaries are descriptive and intended to identify where potentially fragile point estimates are concentrated in the analysed subset.</w:t>
      </w:r>
    </w:p>
    <w:bookmarkEnd w:id="126"/>
    <w:bookmarkStart w:id="127" w:name="Xbcc0c51d82b2bf49c697952fc977fc249429e0d"/>
    <w:p>
      <w:pPr>
        <w:pStyle w:val="Heading2"/>
      </w:pPr>
      <w:r>
        <w:t xml:space="preserve">S1.12 Displacement magnitude versus boundary survival structure</w:t>
      </w:r>
    </w:p>
    <w:p>
      <w:pPr>
        <w:pStyle w:val="FirstParagraph"/>
      </w:pPr>
      <w:r>
        <w:t xml:space="preserve">To examine factors associated with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127"/>
    <w:bookmarkStart w:id="128"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posterior uncertainty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128"/>
    <w:bookmarkEnd w:id="129"/>
    <w:bookmarkStart w:id="135" w:name="supplementary-results"/>
    <w:p>
      <w:pPr>
        <w:pStyle w:val="Heading1"/>
      </w:pPr>
      <w:r>
        <w:t xml:space="preserve">Supplementary Results</w:t>
      </w:r>
    </w:p>
    <w:bookmarkStart w:id="1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the</w:t>
      </w:r>
      <w:r>
        <w:t xml:space="preserve"> </w:t>
      </w:r>
      <w:r>
        <w:rPr>
          <w:i/>
          <w:iCs/>
        </w:rPr>
        <w:t xml:space="preserve">Astragalus</w:t>
      </w:r>
      <w:r>
        <w:t xml:space="preserve"> </w:t>
      </w:r>
      <w:r>
        <w:t xml:space="preserve">robustness analysis,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30"/>
    <w:bookmarkStart w:id="131"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45.3% of entries containing at least one boundary survival estimate and 34.0% containing at least one stage with</w:t>
      </w:r>
      <w:r>
        <w:t xml:space="preserve"> </w:t>
      </w:r>
      <m:oMath>
        <m:r>
          <m:t>N</m:t>
        </m:r>
        <m:r>
          <m:rPr>
            <m:sty m:val="p"/>
          </m:rPr>
          <m:t>&lt;</m:t>
        </m:r>
        <m:r>
          <m:t>20</m:t>
        </m:r>
      </m:oMath>
      <w:r>
        <w:t xml:space="preserve">. Succulents showed lower corresponding values (22.2% and 22.2%, respectively). Woody life forms were too sparsely represented in the final subset for strong conclusions. By matrix dimension, both features were more common in 6+-stage matrices than in 3-5-stage matrices (61.1% versus 36.0% for any boundary estimate; 44.4% versus 26.0% for any stage with</w:t>
      </w:r>
      <w:r>
        <w:t xml:space="preserve"> </w:t>
      </w:r>
      <m:oMath>
        <m:r>
          <m:t>N</m:t>
        </m:r>
        <m:r>
          <m:rPr>
            <m:sty m:val="p"/>
          </m:rPr>
          <m:t>&lt;</m:t>
        </m:r>
        <m:r>
          <m:t>20</m:t>
        </m:r>
      </m:oMath>
      <w:r>
        <w:t xml:space="preserve">; Table S12).</w:t>
      </w:r>
    </w:p>
    <w:p>
      <w:pPr>
        <w:pStyle w:val="BodyText"/>
      </w:pPr>
      <w:r>
        <w:t xml:space="preserve">Boundary survival estimates can arise from finite sampling of discrete stage classes. Finer stage classes do not necessarily reduce these estimates and may leave fewer observations per class. Information sharing in fitted vital-rate models, such as those used to construct integral projection models, may reduce boundary estimates through smoothing rather than finer discretisation alone.</w:t>
      </w:r>
    </w:p>
    <w:bookmarkEnd w:id="131"/>
    <w:bookmarkStart w:id="132"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associations are consistent with the proposed mechanism, but do not establish causality.</w:t>
      </w:r>
    </w:p>
    <w:bookmarkEnd w:id="132"/>
    <w:bookmarkStart w:id="133"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These results indicate that shape estimates were generally stable across the thresholds tested. We did not refit the downstream regressions, so their sensitivity to threshold choice remains untested.</w:t>
      </w:r>
    </w:p>
    <w:bookmarkEnd w:id="133"/>
    <w:bookmarkStart w:id="134" w:name="X0b01ca79d9e4593467360b1d50abe8ce91f2738"/>
    <w:p>
      <w:pPr>
        <w:pStyle w:val="Heading2"/>
      </w:pPr>
      <w:r>
        <w:t xml:space="preserve">S2.5 Multisite robustness analysis in</w:t>
      </w:r>
      <w:r>
        <w:t xml:space="preserve"> </w:t>
      </w:r>
      <w:r>
        <w:rPr>
          <w:i/>
          <w:iCs/>
        </w:rPr>
        <w:t xml:space="preserve">Astragalus scaphoides</w:t>
      </w:r>
    </w:p>
    <w:p>
      <w:pPr>
        <w:pStyle w:val="FirstParagraph"/>
      </w:pPr>
      <w:r>
        <w:t xml:space="preserve">For recruitment, applying the analysis 2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than differences between model formulations (Figure S5). Across sites, we had 9-11 years of annual demographic records, with 8-10 years retained for model fitting after filtering (0-3 years excluded;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(Table S8). Monthly-lag coefficient profiles were likewise highly concordant between formulations, with within-site correlations of posterior medians ranging from 0.992 to 0.997 and a maximum lag-specific median difference of 0.042 (Figure S5). These results support the main-text conclusion from analysis 2 that climate-effect inference can be robust to transition-rate sampling uncertainty in this empirical setting.</w:t>
      </w:r>
    </w:p>
    <w:bookmarkEnd w:id="134"/>
    <w:bookmarkEnd w:id="135"/>
    <w:bookmarkStart w:id="136"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95% credible intervals from reconstructed posterior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Multisite robustness-analysis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Multisite robustness-analysis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Multisite robustness-analysis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Included studies have a higher mean proportion of boundary survival estimates, especially estimates of exactly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236"/>
        <w:gridCol w:w="5498"/>
        <w:gridCol w:w="2416"/>
        <w:gridCol w:w="973"/>
        <w:gridCol w:w="1756"/>
        <w:gridCol w:w="1206"/>
        <w:gridCol w:w="961"/>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summarising the stability of shape estimates across the thresholds tested; downstream regressions were not refitted.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136"/>
    <w:bookmarkStart w:id="152" w:name="supplementary-figures"/>
    <w:p>
      <w:pPr>
        <w:pStyle w:val="Heading1"/>
      </w:pPr>
      <w:r>
        <w:t xml:space="preserve">Supplementary Figures</w:t>
      </w:r>
    </w:p>
    <w:p>
      <w:pPr>
        <w:pStyle w:val="FirstParagraph"/>
      </w:pPr>
      <w:r>
        <w:t xml:space="preserve">Figure S1.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pPr>
        <w:pStyle w:val="BodyText"/>
      </w:pPr>
      <w:r>
        <w:drawing>
          <wp:inline>
            <wp:extent cx="5727700" cy="3665728"/>
            <wp:effectExtent b="0" l="0" r="0" t="0"/>
            <wp:docPr descr="" title="" id="138" name="Picture"/>
            <a:graphic>
              <a:graphicData uri="http://schemas.openxmlformats.org/drawingml/2006/picture">
                <pic:pic>
                  <pic:nvPicPr>
                    <pic:cNvPr descr="/Users/jones/GitHubRepos/mpm-uncertainty/docs/manuscript/submission/sampling_uncertainty_mpm_combined_files/d8529a6b665ec0f3e10c96d308c29bc378c62062.png" id="139" name="Picture"/>
                    <pic:cNvPicPr>
                      <a:picLocks noChangeArrowheads="1" noChangeAspect="1"/>
                    </pic:cNvPicPr>
                  </pic:nvPicPr>
                  <pic:blipFill>
                    <a:blip r:embed="rId137"/>
                    <a:stretch>
                      <a:fillRect/>
                    </a:stretch>
                  </pic:blipFill>
                  <pic:spPr bwMode="auto">
                    <a:xfrm>
                      <a:off x="0" y="0"/>
                      <a:ext cx="5727700" cy="3665728"/>
                    </a:xfrm>
                    <a:prstGeom prst="rect">
                      <a:avLst/>
                    </a:prstGeom>
                    <a:noFill/>
                    <a:ln w="9525">
                      <a:noFill/>
                      <a:headEnd/>
                      <a:tailEnd/>
                    </a:ln>
                  </pic:spPr>
                </pic:pic>
              </a:graphicData>
            </a:graphic>
          </wp:inline>
        </w:drawing>
      </w:r>
    </w:p>
    <w:p>
      <w:r>
        <w:br w:type="page"/>
      </w:r>
    </w:p>
    <w:p>
      <w:pPr>
        <w:pStyle w:val="BodyText"/>
      </w:pPr>
      <w:r>
        <w:t xml:space="preserve">Figure S2. Illustration of survivorship trajectories under boundary survival transitions. Age/time is shown in years. These cases can induce artefactual trajectory shapes and help explain mismatches between point estimates and uncertainty-aware summaries.</w:t>
      </w:r>
    </w:p>
    <w:p>
      <w:pPr>
        <w:pStyle w:val="BodyText"/>
      </w:pPr>
      <w:r>
        <w:drawing>
          <wp:inline>
            <wp:extent cx="5727700" cy="5498592"/>
            <wp:effectExtent b="0" l="0" r="0" t="0"/>
            <wp:docPr descr="" title="" id="141" name="Picture"/>
            <a:graphic>
              <a:graphicData uri="http://schemas.openxmlformats.org/drawingml/2006/picture">
                <pic:pic>
                  <pic:nvPicPr>
                    <pic:cNvPr descr="/Users/jones/GitHubRepos/mpm-uncertainty/docs/manuscript/submission/sampling_uncertainty_mpm_combined_files/14ef09e30f575359848c2835f63766b001ca77ef.png" id="142" name="Picture"/>
                    <pic:cNvPicPr>
                      <a:picLocks noChangeArrowheads="1" noChangeAspect="1"/>
                    </pic:cNvPicPr>
                  </pic:nvPicPr>
                  <pic:blipFill>
                    <a:blip r:embed="rId140"/>
                    <a:stretch>
                      <a:fillRect/>
                    </a:stretch>
                  </pic:blipFill>
                  <pic:spPr bwMode="auto">
                    <a:xfrm>
                      <a:off x="0" y="0"/>
                      <a:ext cx="5727700" cy="5498592"/>
                    </a:xfrm>
                    <a:prstGeom prst="rect">
                      <a:avLst/>
                    </a:prstGeom>
                    <a:noFill/>
                    <a:ln w="9525">
                      <a:noFill/>
                      <a:headEnd/>
                      <a:tailEnd/>
                    </a:ln>
                  </pic:spPr>
                </pic:pic>
              </a:graphicData>
            </a:graphic>
          </wp:inline>
        </w:drawing>
      </w:r>
    </w:p>
    <w:p>
      <w:r>
        <w:br w:type="page"/>
      </w:r>
    </w:p>
    <w:p>
      <w:pPr>
        <w:pStyle w:val="BodyText"/>
      </w:pPr>
      <w:r>
        <w:t xml:space="preserve">Figure S3.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pPr>
        <w:pStyle w:val="BodyText"/>
      </w:pPr>
      <w:r>
        <w:drawing>
          <wp:inline>
            <wp:extent cx="5727700" cy="4455476"/>
            <wp:effectExtent b="0" l="0" r="0" t="0"/>
            <wp:docPr descr="" title="" id="144" name="Picture"/>
            <a:graphic>
              <a:graphicData uri="http://schemas.openxmlformats.org/drawingml/2006/picture">
                <pic:pic>
                  <pic:nvPicPr>
                    <pic:cNvPr descr="/Users/jones/GitHubRepos/mpm-uncertainty/docs/manuscript/submission/sampling_uncertainty_mpm_combined_files/7a07c06ddb7e22240bd267f312370e06b58b05ad.png" id="145" name="Picture"/>
                    <pic:cNvPicPr>
                      <a:picLocks noChangeArrowheads="1" noChangeAspect="1"/>
                    </pic:cNvPicPr>
                  </pic:nvPicPr>
                  <pic:blipFill>
                    <a:blip r:embed="rId143"/>
                    <a:stretch>
                      <a:fillRect/>
                    </a:stretch>
                  </pic:blipFill>
                  <pic:spPr bwMode="auto">
                    <a:xfrm>
                      <a:off x="0" y="0"/>
                      <a:ext cx="5727700" cy="4455476"/>
                    </a:xfrm>
                    <a:prstGeom prst="rect">
                      <a:avLst/>
                    </a:prstGeom>
                    <a:noFill/>
                    <a:ln w="9525">
                      <a:noFill/>
                      <a:headEnd/>
                      <a:tailEnd/>
                    </a:ln>
                  </pic:spPr>
                </pic:pic>
              </a:graphicData>
            </a:graphic>
          </wp:inline>
        </w:drawing>
      </w:r>
    </w:p>
    <w:p>
      <w:r>
        <w:br w:type="page"/>
      </w:r>
    </w:p>
    <w:p>
      <w:pPr>
        <w:pStyle w:val="BodyText"/>
      </w:pPr>
      <w:r>
        <w:t xml:space="preserve">Figure S4.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pPr>
        <w:pStyle w:val="BodyText"/>
      </w:pPr>
      <w:r>
        <w:drawing>
          <wp:inline>
            <wp:extent cx="5727700" cy="2862502"/>
            <wp:effectExtent b="0" l="0" r="0" t="0"/>
            <wp:docPr descr="" title="" id="147" name="Picture"/>
            <a:graphic>
              <a:graphicData uri="http://schemas.openxmlformats.org/drawingml/2006/picture">
                <pic:pic>
                  <pic:nvPicPr>
                    <pic:cNvPr descr="/Users/jones/GitHubRepos/mpm-uncertainty/docs/manuscript/submission/sampling_uncertainty_mpm_combined_files/f81ebd71ddc3db9e22297ad2a98c3b5420b48bc0.png" id="148" name="Picture"/>
                    <pic:cNvPicPr>
                      <a:picLocks noChangeArrowheads="1" noChangeAspect="1"/>
                    </pic:cNvPicPr>
                  </pic:nvPicPr>
                  <pic:blipFill>
                    <a:blip r:embed="rId146"/>
                    <a:stretch>
                      <a:fillRect/>
                    </a:stretch>
                  </pic:blipFill>
                  <pic:spPr bwMode="auto">
                    <a:xfrm>
                      <a:off x="0" y="0"/>
                      <a:ext cx="5727700" cy="2862502"/>
                    </a:xfrm>
                    <a:prstGeom prst="rect">
                      <a:avLst/>
                    </a:prstGeom>
                    <a:noFill/>
                    <a:ln w="9525">
                      <a:noFill/>
                      <a:headEnd/>
                      <a:tailEnd/>
                    </a:ln>
                  </pic:spPr>
                </pic:pic>
              </a:graphicData>
            </a:graphic>
          </wp:inline>
        </w:drawing>
      </w:r>
    </w:p>
    <w:p>
      <w:r>
        <w:br w:type="page"/>
      </w:r>
    </w:p>
    <w:p>
      <w:pPr>
        <w:pStyle w:val="BodyText"/>
      </w:pPr>
      <w:r>
        <w:t xml:space="preserve">Figure S5. Multisite robustness analysis for</w:t>
      </w:r>
      <w:r>
        <w:t xml:space="preserve"> </w:t>
      </w:r>
      <w:r>
        <w:rPr>
          <w:i/>
          <w:iCs/>
        </w:rPr>
        <w:t xml:space="preserve">Astragalus scaphoides</w:t>
      </w:r>
      <w:r>
        <w:t xml:space="preserve">. Columns show Haynes Creek (A, D, G), McDevitt Creek (B, E, H), and Sheep Corral Gulch (C, F, I). Rows show monthly-lag temperature coefficients (A-C), recruitment-temperature fits (D-F), and stage-specific survival-temperature coefficients (G-I) for point-estimate (purple) and uncertainty-aware (green) formulations. Recruitment is seedlings per reproductive plant, and stage-specific survival coefficients are on the logit scale (β). Survival intervals are 95% Wald confidence intervals; non-estimable stages are labelled rather than plotted. Differences between survival models reflect weighting and dispersion assumptions as well as the use of sample sizes. Recruitment results are closely aligned between formulations within sites.</w:t>
      </w:r>
    </w:p>
    <w:p>
      <w:pPr>
        <w:pStyle w:val="BodyText"/>
      </w:pPr>
      <w:r>
        <w:drawing>
          <wp:inline>
            <wp:extent cx="5727700" cy="4773682"/>
            <wp:effectExtent b="0" l="0" r="0" t="0"/>
            <wp:docPr descr="" title="" id="150" name="Picture"/>
            <a:graphic>
              <a:graphicData uri="http://schemas.openxmlformats.org/drawingml/2006/picture">
                <pic:pic>
                  <pic:nvPicPr>
                    <pic:cNvPr descr="/Users/jones/GitHubRepos/mpm-uncertainty/docs/manuscript/submission/sampling_uncertainty_mpm_combined_files/07961aeadb3b8be6075e27c19a217a966c209c17.png" id="151" name="Picture"/>
                    <pic:cNvPicPr>
                      <a:picLocks noChangeArrowheads="1" noChangeAspect="1"/>
                    </pic:cNvPicPr>
                  </pic:nvPicPr>
                  <pic:blipFill>
                    <a:blip r:embed="rId149"/>
                    <a:stretch>
                      <a:fillRect/>
                    </a:stretch>
                  </pic:blipFill>
                  <pic:spPr bwMode="auto">
                    <a:xfrm>
                      <a:off x="0" y="0"/>
                      <a:ext cx="5727700" cy="4773682"/>
                    </a:xfrm>
                    <a:prstGeom prst="rect">
                      <a:avLst/>
                    </a:prstGeom>
                    <a:noFill/>
                    <a:ln w="9525">
                      <a:noFill/>
                      <a:headEnd/>
                      <a:tailEnd/>
                    </a:ln>
                  </pic:spPr>
                </pic:pic>
              </a:graphicData>
            </a:graphic>
          </wp:inline>
        </w:drawing>
      </w:r>
    </w:p>
    <w:p>
      <w:r>
        <w:br w:type="page"/>
      </w:r>
    </w:p>
    <w:bookmarkEnd w:id="152"/>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95" Target="media/rId95.png" /><Relationship Type="http://schemas.openxmlformats.org/officeDocument/2006/relationships/image" Id="rId140" Target="media/rId140.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43" Target="media/rId143.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111" Target="media/rId111.png" /><Relationship Type="http://schemas.openxmlformats.org/officeDocument/2006/relationships/image" Id="rId137" Target="media/rId137.png" /><Relationship Type="http://schemas.openxmlformats.org/officeDocument/2006/relationships/image" Id="rId146" Target="media/rId146.png" /><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2026-09-21T19:32:46Z</dcterms:created>
  <dcterms:modified xsi:type="dcterms:W3CDTF">2026-09-21T19:32:46Z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