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4590" w14:textId="77777777" w:rsidR="00846DFC" w:rsidRDefault="00000000">
      <w:pPr>
        <w:pStyle w:val="Title"/>
      </w:pPr>
      <w:r>
        <w:t>Supplementary Materials</w:t>
      </w:r>
    </w:p>
    <w:p w14:paraId="7007AB6E" w14:textId="77777777" w:rsidR="00846DFC" w:rsidRDefault="00000000">
      <w:pPr>
        <w:pStyle w:val="Subtitle"/>
      </w:pPr>
      <w:r>
        <w:t>When does sampling uncertainty matter in matrix population models? Evidence from published projection matrices</w:t>
      </w:r>
    </w:p>
    <w:sdt>
      <w:sdtPr>
        <w:rPr>
          <w:rFonts w:ascii="Garamond" w:eastAsiaTheme="minorEastAsia" w:hAnsi="Garamond" w:cstheme="minorBidi"/>
          <w:b w:val="0"/>
          <w:bCs w:val="0"/>
          <w:color w:val="auto"/>
          <w:sz w:val="24"/>
          <w:szCs w:val="24"/>
        </w:rPr>
        <w:id w:val="1891298792"/>
        <w:docPartObj>
          <w:docPartGallery w:val="Table of Contents"/>
          <w:docPartUnique/>
        </w:docPartObj>
      </w:sdtPr>
      <w:sdtContent>
        <w:p w14:paraId="7148A068" w14:textId="77777777" w:rsidR="00846DFC" w:rsidRDefault="00000000">
          <w:pPr>
            <w:pStyle w:val="TOCHeading"/>
          </w:pPr>
          <w:r>
            <w:t>Table of Contents</w:t>
          </w:r>
        </w:p>
        <w:p w14:paraId="0A3EA2F5" w14:textId="2FA97F20" w:rsidR="00B065C7" w:rsidRDefault="00000000">
          <w:pPr>
            <w:pStyle w:val="TOC1"/>
            <w:tabs>
              <w:tab w:val="right" w:leader="dot" w:pos="9010"/>
            </w:tabs>
            <w:rPr>
              <w:noProof/>
            </w:rPr>
          </w:pPr>
          <w:r>
            <w:fldChar w:fldCharType="begin"/>
          </w:r>
          <w:r>
            <w:instrText>TOC \o "1-2" \h \z \u</w:instrText>
          </w:r>
          <w:r>
            <w:fldChar w:fldCharType="separate"/>
          </w:r>
          <w:hyperlink w:anchor="_Toc226648402" w:history="1">
            <w:r w:rsidR="00B065C7" w:rsidRPr="00AF36D3">
              <w:rPr>
                <w:rStyle w:val="Hyperlink"/>
                <w:noProof/>
              </w:rPr>
              <w:t>Supplementary Methods</w:t>
            </w:r>
            <w:r w:rsidR="00B065C7">
              <w:rPr>
                <w:noProof/>
                <w:webHidden/>
              </w:rPr>
              <w:tab/>
            </w:r>
            <w:r w:rsidR="00B065C7">
              <w:rPr>
                <w:noProof/>
                <w:webHidden/>
              </w:rPr>
              <w:fldChar w:fldCharType="begin"/>
            </w:r>
            <w:r w:rsidR="00B065C7">
              <w:rPr>
                <w:noProof/>
                <w:webHidden/>
              </w:rPr>
              <w:instrText xml:space="preserve"> PAGEREF _Toc226648402 \h </w:instrText>
            </w:r>
            <w:r w:rsidR="00B065C7">
              <w:rPr>
                <w:noProof/>
                <w:webHidden/>
              </w:rPr>
            </w:r>
            <w:r w:rsidR="00B065C7">
              <w:rPr>
                <w:noProof/>
                <w:webHidden/>
              </w:rPr>
              <w:fldChar w:fldCharType="separate"/>
            </w:r>
            <w:r w:rsidR="00B065C7">
              <w:rPr>
                <w:noProof/>
                <w:webHidden/>
              </w:rPr>
              <w:t>2</w:t>
            </w:r>
            <w:r w:rsidR="00B065C7">
              <w:rPr>
                <w:noProof/>
                <w:webHidden/>
              </w:rPr>
              <w:fldChar w:fldCharType="end"/>
            </w:r>
          </w:hyperlink>
        </w:p>
        <w:p w14:paraId="1FFE3725" w14:textId="5BE6710B" w:rsidR="00B065C7" w:rsidRDefault="00B065C7">
          <w:pPr>
            <w:pStyle w:val="TOC2"/>
            <w:tabs>
              <w:tab w:val="right" w:leader="dot" w:pos="9010"/>
            </w:tabs>
            <w:rPr>
              <w:noProof/>
            </w:rPr>
          </w:pPr>
          <w:hyperlink w:anchor="_Toc226648403" w:history="1">
            <w:r w:rsidRPr="00AF36D3">
              <w:rPr>
                <w:rStyle w:val="Hyperlink"/>
                <w:noProof/>
              </w:rPr>
              <w:t>S1.1 Sampling-distribution workflow used for each MPM</w:t>
            </w:r>
            <w:r>
              <w:rPr>
                <w:noProof/>
                <w:webHidden/>
              </w:rPr>
              <w:tab/>
            </w:r>
            <w:r>
              <w:rPr>
                <w:noProof/>
                <w:webHidden/>
              </w:rPr>
              <w:fldChar w:fldCharType="begin"/>
            </w:r>
            <w:r>
              <w:rPr>
                <w:noProof/>
                <w:webHidden/>
              </w:rPr>
              <w:instrText xml:space="preserve"> PAGEREF _Toc226648403 \h </w:instrText>
            </w:r>
            <w:r>
              <w:rPr>
                <w:noProof/>
                <w:webHidden/>
              </w:rPr>
            </w:r>
            <w:r>
              <w:rPr>
                <w:noProof/>
                <w:webHidden/>
              </w:rPr>
              <w:fldChar w:fldCharType="separate"/>
            </w:r>
            <w:r>
              <w:rPr>
                <w:noProof/>
                <w:webHidden/>
              </w:rPr>
              <w:t>2</w:t>
            </w:r>
            <w:r>
              <w:rPr>
                <w:noProof/>
                <w:webHidden/>
              </w:rPr>
              <w:fldChar w:fldCharType="end"/>
            </w:r>
          </w:hyperlink>
        </w:p>
        <w:p w14:paraId="76964B5F" w14:textId="30A66865" w:rsidR="00B065C7" w:rsidRDefault="00B065C7">
          <w:pPr>
            <w:pStyle w:val="TOC2"/>
            <w:tabs>
              <w:tab w:val="right" w:leader="dot" w:pos="9010"/>
            </w:tabs>
            <w:rPr>
              <w:noProof/>
            </w:rPr>
          </w:pPr>
          <w:hyperlink w:anchor="_Toc226648404" w:history="1">
            <w:r w:rsidRPr="00AF36D3">
              <w:rPr>
                <w:rStyle w:val="Hyperlink"/>
                <w:noProof/>
              </w:rPr>
              <w:t>S1.2 Age-from-stage derivation, truncation, and shape metric</w:t>
            </w:r>
            <w:r>
              <w:rPr>
                <w:noProof/>
                <w:webHidden/>
              </w:rPr>
              <w:tab/>
            </w:r>
            <w:r>
              <w:rPr>
                <w:noProof/>
                <w:webHidden/>
              </w:rPr>
              <w:fldChar w:fldCharType="begin"/>
            </w:r>
            <w:r>
              <w:rPr>
                <w:noProof/>
                <w:webHidden/>
              </w:rPr>
              <w:instrText xml:space="preserve"> PAGEREF _Toc226648404 \h </w:instrText>
            </w:r>
            <w:r>
              <w:rPr>
                <w:noProof/>
                <w:webHidden/>
              </w:rPr>
            </w:r>
            <w:r>
              <w:rPr>
                <w:noProof/>
                <w:webHidden/>
              </w:rPr>
              <w:fldChar w:fldCharType="separate"/>
            </w:r>
            <w:r>
              <w:rPr>
                <w:noProof/>
                <w:webHidden/>
              </w:rPr>
              <w:t>2</w:t>
            </w:r>
            <w:r>
              <w:rPr>
                <w:noProof/>
                <w:webHidden/>
              </w:rPr>
              <w:fldChar w:fldCharType="end"/>
            </w:r>
          </w:hyperlink>
        </w:p>
        <w:p w14:paraId="7ED67FE8" w14:textId="405FEFDF" w:rsidR="00B065C7" w:rsidRDefault="00B065C7">
          <w:pPr>
            <w:pStyle w:val="TOC2"/>
            <w:tabs>
              <w:tab w:val="right" w:leader="dot" w:pos="9010"/>
            </w:tabs>
            <w:rPr>
              <w:noProof/>
            </w:rPr>
          </w:pPr>
          <w:hyperlink w:anchor="_Toc226648405" w:history="1">
            <w:r w:rsidRPr="00AF36D3">
              <w:rPr>
                <w:rStyle w:val="Hyperlink"/>
                <w:noProof/>
              </w:rPr>
              <w:t>S1.3 Pooled and mean MPM handling</w:t>
            </w:r>
            <w:r>
              <w:rPr>
                <w:noProof/>
                <w:webHidden/>
              </w:rPr>
              <w:tab/>
            </w:r>
            <w:r>
              <w:rPr>
                <w:noProof/>
                <w:webHidden/>
              </w:rPr>
              <w:fldChar w:fldCharType="begin"/>
            </w:r>
            <w:r>
              <w:rPr>
                <w:noProof/>
                <w:webHidden/>
              </w:rPr>
              <w:instrText xml:space="preserve"> PAGEREF _Toc226648405 \h </w:instrText>
            </w:r>
            <w:r>
              <w:rPr>
                <w:noProof/>
                <w:webHidden/>
              </w:rPr>
            </w:r>
            <w:r>
              <w:rPr>
                <w:noProof/>
                <w:webHidden/>
              </w:rPr>
              <w:fldChar w:fldCharType="separate"/>
            </w:r>
            <w:r>
              <w:rPr>
                <w:noProof/>
                <w:webHidden/>
              </w:rPr>
              <w:t>3</w:t>
            </w:r>
            <w:r>
              <w:rPr>
                <w:noProof/>
                <w:webHidden/>
              </w:rPr>
              <w:fldChar w:fldCharType="end"/>
            </w:r>
          </w:hyperlink>
        </w:p>
        <w:p w14:paraId="05F5E5FD" w14:textId="0A890479" w:rsidR="00B065C7" w:rsidRDefault="00B065C7">
          <w:pPr>
            <w:pStyle w:val="TOC2"/>
            <w:tabs>
              <w:tab w:val="right" w:leader="dot" w:pos="9010"/>
            </w:tabs>
            <w:rPr>
              <w:noProof/>
            </w:rPr>
          </w:pPr>
          <w:hyperlink w:anchor="_Toc226648406" w:history="1">
            <w:r w:rsidRPr="00AF36D3">
              <w:rPr>
                <w:rStyle w:val="Hyperlink"/>
                <w:noProof/>
              </w:rPr>
              <w:t>S1.4 Bayesian model priors and fitting settings</w:t>
            </w:r>
            <w:r>
              <w:rPr>
                <w:noProof/>
                <w:webHidden/>
              </w:rPr>
              <w:tab/>
            </w:r>
            <w:r>
              <w:rPr>
                <w:noProof/>
                <w:webHidden/>
              </w:rPr>
              <w:fldChar w:fldCharType="begin"/>
            </w:r>
            <w:r>
              <w:rPr>
                <w:noProof/>
                <w:webHidden/>
              </w:rPr>
              <w:instrText xml:space="preserve"> PAGEREF _Toc226648406 \h </w:instrText>
            </w:r>
            <w:r>
              <w:rPr>
                <w:noProof/>
                <w:webHidden/>
              </w:rPr>
            </w:r>
            <w:r>
              <w:rPr>
                <w:noProof/>
                <w:webHidden/>
              </w:rPr>
              <w:fldChar w:fldCharType="separate"/>
            </w:r>
            <w:r>
              <w:rPr>
                <w:noProof/>
                <w:webHidden/>
              </w:rPr>
              <w:t>3</w:t>
            </w:r>
            <w:r>
              <w:rPr>
                <w:noProof/>
                <w:webHidden/>
              </w:rPr>
              <w:fldChar w:fldCharType="end"/>
            </w:r>
          </w:hyperlink>
        </w:p>
        <w:p w14:paraId="4584D461" w14:textId="71BF0145" w:rsidR="00B065C7" w:rsidRDefault="00B065C7">
          <w:pPr>
            <w:pStyle w:val="TOC2"/>
            <w:tabs>
              <w:tab w:val="right" w:leader="dot" w:pos="9010"/>
            </w:tabs>
            <w:rPr>
              <w:noProof/>
            </w:rPr>
          </w:pPr>
          <w:hyperlink w:anchor="_Toc226648407" w:history="1">
            <w:r w:rsidRPr="00AF36D3">
              <w:rPr>
                <w:rStyle w:val="Hyperlink"/>
                <w:noProof/>
              </w:rPr>
              <w:t>S1.5 Variance-component summary (sampling-to-other ratio)</w:t>
            </w:r>
            <w:r>
              <w:rPr>
                <w:noProof/>
                <w:webHidden/>
              </w:rPr>
              <w:tab/>
            </w:r>
            <w:r>
              <w:rPr>
                <w:noProof/>
                <w:webHidden/>
              </w:rPr>
              <w:fldChar w:fldCharType="begin"/>
            </w:r>
            <w:r>
              <w:rPr>
                <w:noProof/>
                <w:webHidden/>
              </w:rPr>
              <w:instrText xml:space="preserve"> PAGEREF _Toc226648407 \h </w:instrText>
            </w:r>
            <w:r>
              <w:rPr>
                <w:noProof/>
                <w:webHidden/>
              </w:rPr>
            </w:r>
            <w:r>
              <w:rPr>
                <w:noProof/>
                <w:webHidden/>
              </w:rPr>
              <w:fldChar w:fldCharType="separate"/>
            </w:r>
            <w:r>
              <w:rPr>
                <w:noProof/>
                <w:webHidden/>
              </w:rPr>
              <w:t>4</w:t>
            </w:r>
            <w:r>
              <w:rPr>
                <w:noProof/>
                <w:webHidden/>
              </w:rPr>
              <w:fldChar w:fldCharType="end"/>
            </w:r>
          </w:hyperlink>
        </w:p>
        <w:p w14:paraId="13D4734B" w14:textId="7A6755DD" w:rsidR="00B065C7" w:rsidRDefault="00B065C7">
          <w:pPr>
            <w:pStyle w:val="TOC2"/>
            <w:tabs>
              <w:tab w:val="right" w:leader="dot" w:pos="9010"/>
            </w:tabs>
            <w:rPr>
              <w:noProof/>
            </w:rPr>
          </w:pPr>
          <w:hyperlink w:anchor="_Toc226648408" w:history="1">
            <w:r w:rsidRPr="00AF36D3">
              <w:rPr>
                <w:rStyle w:val="Hyperlink"/>
                <w:noProof/>
              </w:rPr>
              <w:t>S1.6 Simplified spring-temperature model (analysis 2)</w:t>
            </w:r>
            <w:r>
              <w:rPr>
                <w:noProof/>
                <w:webHidden/>
              </w:rPr>
              <w:tab/>
            </w:r>
            <w:r>
              <w:rPr>
                <w:noProof/>
                <w:webHidden/>
              </w:rPr>
              <w:fldChar w:fldCharType="begin"/>
            </w:r>
            <w:r>
              <w:rPr>
                <w:noProof/>
                <w:webHidden/>
              </w:rPr>
              <w:instrText xml:space="preserve"> PAGEREF _Toc226648408 \h </w:instrText>
            </w:r>
            <w:r>
              <w:rPr>
                <w:noProof/>
                <w:webHidden/>
              </w:rPr>
            </w:r>
            <w:r>
              <w:rPr>
                <w:noProof/>
                <w:webHidden/>
              </w:rPr>
              <w:fldChar w:fldCharType="separate"/>
            </w:r>
            <w:r>
              <w:rPr>
                <w:noProof/>
                <w:webHidden/>
              </w:rPr>
              <w:t>4</w:t>
            </w:r>
            <w:r>
              <w:rPr>
                <w:noProof/>
                <w:webHidden/>
              </w:rPr>
              <w:fldChar w:fldCharType="end"/>
            </w:r>
          </w:hyperlink>
        </w:p>
        <w:p w14:paraId="5857C6DB" w14:textId="216E24A6" w:rsidR="00B065C7" w:rsidRDefault="00B065C7">
          <w:pPr>
            <w:pStyle w:val="TOC2"/>
            <w:tabs>
              <w:tab w:val="right" w:leader="dot" w:pos="9010"/>
            </w:tabs>
            <w:rPr>
              <w:noProof/>
            </w:rPr>
          </w:pPr>
          <w:hyperlink w:anchor="_Toc226648409" w:history="1">
            <w:r w:rsidRPr="00AF36D3">
              <w:rPr>
                <w:rStyle w:val="Hyperlink"/>
                <w:noProof/>
              </w:rPr>
              <w:t>S1.7 Reporting recommendations for future MPM studies</w:t>
            </w:r>
            <w:r>
              <w:rPr>
                <w:noProof/>
                <w:webHidden/>
              </w:rPr>
              <w:tab/>
            </w:r>
            <w:r>
              <w:rPr>
                <w:noProof/>
                <w:webHidden/>
              </w:rPr>
              <w:fldChar w:fldCharType="begin"/>
            </w:r>
            <w:r>
              <w:rPr>
                <w:noProof/>
                <w:webHidden/>
              </w:rPr>
              <w:instrText xml:space="preserve"> PAGEREF _Toc226648409 \h </w:instrText>
            </w:r>
            <w:r>
              <w:rPr>
                <w:noProof/>
                <w:webHidden/>
              </w:rPr>
            </w:r>
            <w:r>
              <w:rPr>
                <w:noProof/>
                <w:webHidden/>
              </w:rPr>
              <w:fldChar w:fldCharType="separate"/>
            </w:r>
            <w:r>
              <w:rPr>
                <w:noProof/>
                <w:webHidden/>
              </w:rPr>
              <w:t>5</w:t>
            </w:r>
            <w:r>
              <w:rPr>
                <w:noProof/>
                <w:webHidden/>
              </w:rPr>
              <w:fldChar w:fldCharType="end"/>
            </w:r>
          </w:hyperlink>
        </w:p>
        <w:p w14:paraId="3A74ABC1" w14:textId="781610CC" w:rsidR="00B065C7" w:rsidRDefault="00B065C7">
          <w:pPr>
            <w:pStyle w:val="TOC2"/>
            <w:tabs>
              <w:tab w:val="right" w:leader="dot" w:pos="9010"/>
            </w:tabs>
            <w:rPr>
              <w:noProof/>
            </w:rPr>
          </w:pPr>
          <w:hyperlink w:anchor="_Toc226648410" w:history="1">
            <w:r w:rsidRPr="00AF36D3">
              <w:rPr>
                <w:rStyle w:val="Hyperlink"/>
                <w:noProof/>
              </w:rPr>
              <w:t>S1.8 Study and species identities in analysis 1</w:t>
            </w:r>
            <w:r>
              <w:rPr>
                <w:noProof/>
                <w:webHidden/>
              </w:rPr>
              <w:tab/>
            </w:r>
            <w:r>
              <w:rPr>
                <w:noProof/>
                <w:webHidden/>
              </w:rPr>
              <w:fldChar w:fldCharType="begin"/>
            </w:r>
            <w:r>
              <w:rPr>
                <w:noProof/>
                <w:webHidden/>
              </w:rPr>
              <w:instrText xml:space="preserve"> PAGEREF _Toc226648410 \h </w:instrText>
            </w:r>
            <w:r>
              <w:rPr>
                <w:noProof/>
                <w:webHidden/>
              </w:rPr>
            </w:r>
            <w:r>
              <w:rPr>
                <w:noProof/>
                <w:webHidden/>
              </w:rPr>
              <w:fldChar w:fldCharType="separate"/>
            </w:r>
            <w:r>
              <w:rPr>
                <w:noProof/>
                <w:webHidden/>
              </w:rPr>
              <w:t>5</w:t>
            </w:r>
            <w:r>
              <w:rPr>
                <w:noProof/>
                <w:webHidden/>
              </w:rPr>
              <w:fldChar w:fldCharType="end"/>
            </w:r>
          </w:hyperlink>
        </w:p>
        <w:p w14:paraId="28EDF00B" w14:textId="760BB99A" w:rsidR="00B065C7" w:rsidRDefault="00B065C7">
          <w:pPr>
            <w:pStyle w:val="TOC2"/>
            <w:tabs>
              <w:tab w:val="right" w:leader="dot" w:pos="9010"/>
            </w:tabs>
            <w:rPr>
              <w:noProof/>
            </w:rPr>
          </w:pPr>
          <w:hyperlink w:anchor="_Toc226648411" w:history="1">
            <w:r w:rsidRPr="00AF36D3">
              <w:rPr>
                <w:rStyle w:val="Hyperlink"/>
                <w:noProof/>
              </w:rPr>
              <w:t>S1.9 Multi-site extension for analysis 3 (Astragalus scaphoides)</w:t>
            </w:r>
            <w:r>
              <w:rPr>
                <w:noProof/>
                <w:webHidden/>
              </w:rPr>
              <w:tab/>
            </w:r>
            <w:r>
              <w:rPr>
                <w:noProof/>
                <w:webHidden/>
              </w:rPr>
              <w:fldChar w:fldCharType="begin"/>
            </w:r>
            <w:r>
              <w:rPr>
                <w:noProof/>
                <w:webHidden/>
              </w:rPr>
              <w:instrText xml:space="preserve"> PAGEREF _Toc226648411 \h </w:instrText>
            </w:r>
            <w:r>
              <w:rPr>
                <w:noProof/>
                <w:webHidden/>
              </w:rPr>
            </w:r>
            <w:r>
              <w:rPr>
                <w:noProof/>
                <w:webHidden/>
              </w:rPr>
              <w:fldChar w:fldCharType="separate"/>
            </w:r>
            <w:r>
              <w:rPr>
                <w:noProof/>
                <w:webHidden/>
              </w:rPr>
              <w:t>5</w:t>
            </w:r>
            <w:r>
              <w:rPr>
                <w:noProof/>
                <w:webHidden/>
              </w:rPr>
              <w:fldChar w:fldCharType="end"/>
            </w:r>
          </w:hyperlink>
        </w:p>
        <w:p w14:paraId="4B1EA32C" w14:textId="2C995A6D" w:rsidR="00B065C7" w:rsidRDefault="00B065C7">
          <w:pPr>
            <w:pStyle w:val="TOC1"/>
            <w:tabs>
              <w:tab w:val="right" w:leader="dot" w:pos="9010"/>
            </w:tabs>
            <w:rPr>
              <w:noProof/>
            </w:rPr>
          </w:pPr>
          <w:hyperlink w:anchor="_Toc226648412" w:history="1">
            <w:r w:rsidRPr="00AF36D3">
              <w:rPr>
                <w:rStyle w:val="Hyperlink"/>
                <w:noProof/>
              </w:rPr>
              <w:t>Supplementary Results</w:t>
            </w:r>
            <w:r>
              <w:rPr>
                <w:noProof/>
                <w:webHidden/>
              </w:rPr>
              <w:tab/>
            </w:r>
            <w:r>
              <w:rPr>
                <w:noProof/>
                <w:webHidden/>
              </w:rPr>
              <w:fldChar w:fldCharType="begin"/>
            </w:r>
            <w:r>
              <w:rPr>
                <w:noProof/>
                <w:webHidden/>
              </w:rPr>
              <w:instrText xml:space="preserve"> PAGEREF _Toc226648412 \h </w:instrText>
            </w:r>
            <w:r>
              <w:rPr>
                <w:noProof/>
                <w:webHidden/>
              </w:rPr>
            </w:r>
            <w:r>
              <w:rPr>
                <w:noProof/>
                <w:webHidden/>
              </w:rPr>
              <w:fldChar w:fldCharType="separate"/>
            </w:r>
            <w:r>
              <w:rPr>
                <w:noProof/>
                <w:webHidden/>
              </w:rPr>
              <w:t>6</w:t>
            </w:r>
            <w:r>
              <w:rPr>
                <w:noProof/>
                <w:webHidden/>
              </w:rPr>
              <w:fldChar w:fldCharType="end"/>
            </w:r>
          </w:hyperlink>
        </w:p>
        <w:p w14:paraId="7166AC44" w14:textId="2AC50049" w:rsidR="00B065C7" w:rsidRDefault="00B065C7">
          <w:pPr>
            <w:pStyle w:val="TOC2"/>
            <w:tabs>
              <w:tab w:val="right" w:leader="dot" w:pos="9010"/>
            </w:tabs>
            <w:rPr>
              <w:noProof/>
            </w:rPr>
          </w:pPr>
          <w:hyperlink w:anchor="_Toc226648413" w:history="1">
            <w:r w:rsidRPr="00AF36D3">
              <w:rPr>
                <w:rStyle w:val="Hyperlink"/>
                <w:noProof/>
              </w:rPr>
              <w:t>S2.1 Sensitivity to point-estimate weighting choice</w:t>
            </w:r>
            <w:r>
              <w:rPr>
                <w:noProof/>
                <w:webHidden/>
              </w:rPr>
              <w:tab/>
            </w:r>
            <w:r>
              <w:rPr>
                <w:noProof/>
                <w:webHidden/>
              </w:rPr>
              <w:fldChar w:fldCharType="begin"/>
            </w:r>
            <w:r>
              <w:rPr>
                <w:noProof/>
                <w:webHidden/>
              </w:rPr>
              <w:instrText xml:space="preserve"> PAGEREF _Toc226648413 \h </w:instrText>
            </w:r>
            <w:r>
              <w:rPr>
                <w:noProof/>
                <w:webHidden/>
              </w:rPr>
            </w:r>
            <w:r>
              <w:rPr>
                <w:noProof/>
                <w:webHidden/>
              </w:rPr>
              <w:fldChar w:fldCharType="separate"/>
            </w:r>
            <w:r>
              <w:rPr>
                <w:noProof/>
                <w:webHidden/>
              </w:rPr>
              <w:t>6</w:t>
            </w:r>
            <w:r>
              <w:rPr>
                <w:noProof/>
                <w:webHidden/>
              </w:rPr>
              <w:fldChar w:fldCharType="end"/>
            </w:r>
          </w:hyperlink>
        </w:p>
        <w:p w14:paraId="0AEBB261" w14:textId="7CF584CB" w:rsidR="00B065C7" w:rsidRDefault="00B065C7">
          <w:pPr>
            <w:pStyle w:val="TOC1"/>
            <w:tabs>
              <w:tab w:val="right" w:leader="dot" w:pos="9010"/>
            </w:tabs>
            <w:rPr>
              <w:noProof/>
            </w:rPr>
          </w:pPr>
          <w:hyperlink w:anchor="_Toc226648414" w:history="1">
            <w:r w:rsidRPr="00AF36D3">
              <w:rPr>
                <w:rStyle w:val="Hyperlink"/>
                <w:noProof/>
              </w:rPr>
              <w:t>Supplementary Tables</w:t>
            </w:r>
            <w:r>
              <w:rPr>
                <w:noProof/>
                <w:webHidden/>
              </w:rPr>
              <w:tab/>
            </w:r>
            <w:r>
              <w:rPr>
                <w:noProof/>
                <w:webHidden/>
              </w:rPr>
              <w:fldChar w:fldCharType="begin"/>
            </w:r>
            <w:r>
              <w:rPr>
                <w:noProof/>
                <w:webHidden/>
              </w:rPr>
              <w:instrText xml:space="preserve"> PAGEREF _Toc226648414 \h </w:instrText>
            </w:r>
            <w:r>
              <w:rPr>
                <w:noProof/>
                <w:webHidden/>
              </w:rPr>
            </w:r>
            <w:r>
              <w:rPr>
                <w:noProof/>
                <w:webHidden/>
              </w:rPr>
              <w:fldChar w:fldCharType="separate"/>
            </w:r>
            <w:r>
              <w:rPr>
                <w:noProof/>
                <w:webHidden/>
              </w:rPr>
              <w:t>7</w:t>
            </w:r>
            <w:r>
              <w:rPr>
                <w:noProof/>
                <w:webHidden/>
              </w:rPr>
              <w:fldChar w:fldCharType="end"/>
            </w:r>
          </w:hyperlink>
        </w:p>
        <w:p w14:paraId="0F26E884" w14:textId="46E0E126" w:rsidR="00B065C7" w:rsidRDefault="00B065C7">
          <w:pPr>
            <w:pStyle w:val="TOC1"/>
            <w:tabs>
              <w:tab w:val="right" w:leader="dot" w:pos="9010"/>
            </w:tabs>
            <w:rPr>
              <w:noProof/>
            </w:rPr>
          </w:pPr>
          <w:hyperlink w:anchor="_Toc226648415" w:history="1">
            <w:r w:rsidRPr="00AF36D3">
              <w:rPr>
                <w:rStyle w:val="Hyperlink"/>
                <w:noProof/>
              </w:rPr>
              <w:t>Supplementary Figures</w:t>
            </w:r>
            <w:r>
              <w:rPr>
                <w:noProof/>
                <w:webHidden/>
              </w:rPr>
              <w:tab/>
            </w:r>
            <w:r>
              <w:rPr>
                <w:noProof/>
                <w:webHidden/>
              </w:rPr>
              <w:fldChar w:fldCharType="begin"/>
            </w:r>
            <w:r>
              <w:rPr>
                <w:noProof/>
                <w:webHidden/>
              </w:rPr>
              <w:instrText xml:space="preserve"> PAGEREF _Toc226648415 \h </w:instrText>
            </w:r>
            <w:r>
              <w:rPr>
                <w:noProof/>
                <w:webHidden/>
              </w:rPr>
            </w:r>
            <w:r>
              <w:rPr>
                <w:noProof/>
                <w:webHidden/>
              </w:rPr>
              <w:fldChar w:fldCharType="separate"/>
            </w:r>
            <w:r>
              <w:rPr>
                <w:noProof/>
                <w:webHidden/>
              </w:rPr>
              <w:t>21</w:t>
            </w:r>
            <w:r>
              <w:rPr>
                <w:noProof/>
                <w:webHidden/>
              </w:rPr>
              <w:fldChar w:fldCharType="end"/>
            </w:r>
          </w:hyperlink>
        </w:p>
        <w:p w14:paraId="62B2C90C" w14:textId="77777777" w:rsidR="00846DFC" w:rsidRDefault="00000000">
          <w:r>
            <w:fldChar w:fldCharType="end"/>
          </w:r>
        </w:p>
      </w:sdtContent>
    </w:sdt>
    <w:p w14:paraId="7FD7BAEE" w14:textId="77777777" w:rsidR="00846DFC" w:rsidRDefault="00000000">
      <w:pPr>
        <w:pStyle w:val="Heading1"/>
      </w:pPr>
      <w:bookmarkStart w:id="0" w:name="supplementary-methods"/>
      <w:bookmarkStart w:id="1" w:name="_Toc226648402"/>
      <w:r>
        <w:lastRenderedPageBreak/>
        <w:t>Supplementary Methods</w:t>
      </w:r>
      <w:bookmarkEnd w:id="1"/>
    </w:p>
    <w:p w14:paraId="122B3A0B" w14:textId="77777777" w:rsidR="00846DFC" w:rsidRDefault="00000000">
      <w:pPr>
        <w:pStyle w:val="Heading2"/>
      </w:pPr>
      <w:bookmarkStart w:id="2" w:name="X8db80bf293cd88c959aa74ef5a7560efca860c5"/>
      <w:bookmarkStart w:id="3" w:name="_Toc226648403"/>
      <w:r>
        <w:t>S1.1 Sampling-distribution workflow used for each MPM</w:t>
      </w:r>
      <w:bookmarkEnd w:id="3"/>
    </w:p>
    <w:p w14:paraId="1F5E7BF5" w14:textId="77777777" w:rsidR="00846DFC" w:rsidRDefault="00000000">
      <w:pPr>
        <w:pStyle w:val="FirstParagraph"/>
      </w:pPr>
      <w:r>
        <w:t>For each focal matrix population model (MPM), we reconstructed transition-level sampling distributions from reported transition counts (or equivalent sample-size information). We then generated 2,000 parametric bootstrap draws per MPM by sampling each transition from its likelihood (multinomial for survival/growth/retrogression transitions and Poisson for recruitment transitions), rebuilding the full MPM for each draw, and recalculating each derived demographic quantity from that draw. We treated structural zeros (biologically impossible transitions) as fixed zeros in all draws, and treated sampling zeros (possible but unobserved transitions) as uncertain parameters under the same likelihood models used for non-zero transitions. When a recovered stage-specific sample size was zero, we retained the published point-estimate transition column unchanged in all bootstrap draws rather than treating it as structurally fixed at zero; this preserves the published matrix while acknowledging that no additional sampling variance can be propagated for that column.</w:t>
      </w:r>
    </w:p>
    <w:p w14:paraId="06C6362E" w14:textId="77777777" w:rsidR="00846DFC" w:rsidRDefault="00000000">
      <w:pPr>
        <w:pStyle w:val="BodyText"/>
      </w:pPr>
      <w:r>
        <w:t>This produced a sampling distribution for each derived quantity used downstream (e.g. life expectancy, shape, log population growth rate). Point estimates in the manuscript correspond to values derived directly from the reported matrix entries; uncertainty-aware summaries correspond to moments of these bootstrap distributions.</w:t>
      </w:r>
    </w:p>
    <w:p w14:paraId="7D1943D2" w14:textId="77777777" w:rsidR="00846DFC" w:rsidRDefault="00000000">
      <w:pPr>
        <w:pStyle w:val="Heading2"/>
      </w:pPr>
      <w:bookmarkStart w:id="4" w:name="X1ae6718b170a93b0e1164c93ec09328879eb1f3"/>
      <w:bookmarkStart w:id="5" w:name="_Toc226648404"/>
      <w:bookmarkEnd w:id="2"/>
      <w:r>
        <w:t>S1.2 Age-from-stage derivation, truncation, and shape metric</w:t>
      </w:r>
      <w:bookmarkEnd w:id="5"/>
    </w:p>
    <w:p w14:paraId="4D4BC992" w14:textId="77777777" w:rsidR="00846DFC" w:rsidRDefault="00000000">
      <w:pPr>
        <w:pStyle w:val="FirstParagraph"/>
      </w:pPr>
      <w:r>
        <w:t>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p w14:paraId="6F80D0A9" w14:textId="77777777" w:rsidR="00846DFC" w:rsidRDefault="00000000">
      <w:pPr>
        <w:pStyle w:val="Heading2"/>
      </w:pPr>
      <w:bookmarkStart w:id="6" w:name="s1.3-pooled-and-mean-mpm-handling"/>
      <w:bookmarkStart w:id="7" w:name="_Toc226648405"/>
      <w:bookmarkEnd w:id="4"/>
      <w:r>
        <w:lastRenderedPageBreak/>
        <w:t>S1.3 Pooled and mean MPM handling</w:t>
      </w:r>
      <w:bookmarkEnd w:id="7"/>
    </w:p>
    <w:p w14:paraId="3BD1CF71" w14:textId="77777777" w:rsidR="00846DFC" w:rsidRDefault="00000000">
      <w:pPr>
        <w:pStyle w:val="FirstParagraph"/>
      </w:pPr>
      <w:r>
        <w:t>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bootstrap simulation. This captures within-year sampling variation but does not fully represent between-year process variation, so the resulting uncertainty should be interpreted conservatively.</w:t>
      </w:r>
    </w:p>
    <w:p w14:paraId="7B0FF90A" w14:textId="77777777" w:rsidR="00846DFC" w:rsidRDefault="00000000">
      <w:pPr>
        <w:pStyle w:val="Heading2"/>
      </w:pPr>
      <w:bookmarkStart w:id="8" w:name="X226a7ecea596d07eff13fc3b92f7de5fa9b4e5b"/>
      <w:bookmarkStart w:id="9" w:name="_Toc226648406"/>
      <w:bookmarkEnd w:id="6"/>
      <w:r>
        <w:t>S1.4 Bayesian model priors and fitting settings</w:t>
      </w:r>
      <w:bookmarkEnd w:id="9"/>
    </w:p>
    <w:p w14:paraId="2ED1F06A" w14:textId="77777777" w:rsidR="00846DFC" w:rsidRDefault="00000000">
      <w:pPr>
        <w:pStyle w:val="FirstParagraph"/>
      </w:pPr>
      <w:r>
        <w:t xml:space="preserve">Stan models and priors are defined in </w:t>
      </w:r>
      <w:r>
        <w:rPr>
          <w:rStyle w:val="VerbatimChar"/>
        </w:rPr>
        <w:t>models/*.stan</w:t>
      </w:r>
      <w:r>
        <w:t>. For the two main analyses:</w:t>
      </w:r>
    </w:p>
    <w:p w14:paraId="4700EF0B" w14:textId="77777777" w:rsidR="00846DFC" w:rsidRDefault="00000000">
      <w:pPr>
        <w:pStyle w:val="Compact"/>
        <w:numPr>
          <w:ilvl w:val="0"/>
          <w:numId w:val="3"/>
        </w:numPr>
      </w:pPr>
      <w:r>
        <w:t xml:space="preserve">Analysis 1 models use weakly informative normal priors for location/slope terms and normal priors for scale terms (see </w:t>
      </w:r>
      <w:r>
        <w:rPr>
          <w:rStyle w:val="VerbatimChar"/>
        </w:rPr>
        <w:t>models/regress_hier.stan</w:t>
      </w:r>
      <w:r>
        <w:t xml:space="preserve"> and </w:t>
      </w:r>
      <w:r>
        <w:rPr>
          <w:rStyle w:val="VerbatimChar"/>
        </w:rPr>
        <w:t>models/regress_hier_error.stan</w:t>
      </w:r>
      <w:r>
        <w:t>).</w:t>
      </w:r>
    </w:p>
    <w:p w14:paraId="09DF5F5A" w14:textId="77777777" w:rsidR="00846DFC" w:rsidRDefault="00000000">
      <w:pPr>
        <w:pStyle w:val="Compact"/>
        <w:numPr>
          <w:ilvl w:val="0"/>
          <w:numId w:val="3"/>
        </w:numPr>
      </w:pPr>
      <w:r>
        <w:t xml:space="preserve">Analysis 2 uses two models with Gaussian-process regression forms and normal priors on GP hyperparameters and coefficients (see </w:t>
      </w:r>
      <w:r>
        <w:rPr>
          <w:rStyle w:val="VerbatimChar"/>
        </w:rPr>
        <w:t>models/movbeta_gprc.stan</w:t>
      </w:r>
      <w:r>
        <w:t xml:space="preserve"> and </w:t>
      </w:r>
      <w:r>
        <w:rPr>
          <w:rStyle w:val="VerbatimChar"/>
        </w:rPr>
        <w:t>models/movbeta_gprc_err.stan</w:t>
      </w:r>
      <w:r>
        <w:t>).</w:t>
      </w:r>
    </w:p>
    <w:p w14:paraId="5959B7D1" w14:textId="77777777" w:rsidR="00846DFC" w:rsidRDefault="00000000">
      <w:pPr>
        <w:pStyle w:val="Compact"/>
        <w:numPr>
          <w:ilvl w:val="0"/>
          <w:numId w:val="3"/>
        </w:numPr>
      </w:pPr>
      <w:r>
        <w:t>Analysis 3 uses the same Gaussian-process recruitment model pair as analysis 2 (</w:t>
      </w:r>
      <w:r>
        <w:rPr>
          <w:rStyle w:val="VerbatimChar"/>
        </w:rPr>
        <w:t>models/movbeta_gprc.stan</w:t>
      </w:r>
      <w:r>
        <w:t xml:space="preserve"> and </w:t>
      </w:r>
      <w:r>
        <w:rPr>
          <w:rStyle w:val="VerbatimChar"/>
        </w:rPr>
        <w:t>models/movbeta_gprc_err.stan</w:t>
      </w:r>
      <w:r>
        <w:t>) together with a simpler spring-temperature regression pair using weakly informative normal priors on regression coefficients and scale terms (</w:t>
      </w:r>
      <w:r>
        <w:rPr>
          <w:rStyle w:val="VerbatimChar"/>
        </w:rPr>
        <w:t>models/regress.stan</w:t>
      </w:r>
      <w:r>
        <w:t xml:space="preserve"> and </w:t>
      </w:r>
      <w:r>
        <w:rPr>
          <w:rStyle w:val="VerbatimChar"/>
        </w:rPr>
        <w:t>models/regress_log_err.stan</w:t>
      </w:r>
      <w:r>
        <w:t>).</w:t>
      </w:r>
    </w:p>
    <w:p w14:paraId="61EDA8A3" w14:textId="77777777" w:rsidR="00846DFC" w:rsidRDefault="00000000">
      <w:pPr>
        <w:pStyle w:val="FirstParagraph"/>
      </w:pPr>
      <w:r>
        <w:t>Fitting settings used in scripts:</w:t>
      </w:r>
    </w:p>
    <w:p w14:paraId="756B5BA4" w14:textId="77777777" w:rsidR="00846DFC" w:rsidRDefault="00000000">
      <w:pPr>
        <w:pStyle w:val="Compact"/>
        <w:numPr>
          <w:ilvl w:val="0"/>
          <w:numId w:val="4"/>
        </w:numPr>
      </w:pPr>
      <w:r>
        <w:lastRenderedPageBreak/>
        <w:t>Analysis 1 (</w:t>
      </w:r>
      <w:r>
        <w:rPr>
          <w:rStyle w:val="VerbatimChar"/>
        </w:rPr>
        <w:t>scripts/S07_case_study_1_analysis.R</w:t>
      </w:r>
      <w:r>
        <w:t xml:space="preserve">): </w:t>
      </w:r>
      <w:r>
        <w:rPr>
          <w:rStyle w:val="VerbatimChar"/>
        </w:rPr>
        <w:t>chains = 2</w:t>
      </w:r>
      <w:r>
        <w:t xml:space="preserve">, </w:t>
      </w:r>
      <w:r>
        <w:rPr>
          <w:rStyle w:val="VerbatimChar"/>
        </w:rPr>
        <w:t>iter = 4000</w:t>
      </w:r>
      <w:r>
        <w:t xml:space="preserve">, </w:t>
      </w:r>
      <w:r>
        <w:rPr>
          <w:rStyle w:val="VerbatimChar"/>
        </w:rPr>
        <w:t>warmup = 2000-3000</w:t>
      </w:r>
      <w:r>
        <w:t xml:space="preserve">, </w:t>
      </w:r>
      <w:r>
        <w:rPr>
          <w:rStyle w:val="VerbatimChar"/>
        </w:rPr>
        <w:t>seed = 5654</w:t>
      </w:r>
      <w:r>
        <w:t>.</w:t>
      </w:r>
    </w:p>
    <w:p w14:paraId="32A78808" w14:textId="77777777" w:rsidR="00846DFC" w:rsidRDefault="00000000">
      <w:pPr>
        <w:pStyle w:val="Compact"/>
        <w:numPr>
          <w:ilvl w:val="0"/>
          <w:numId w:val="4"/>
        </w:numPr>
      </w:pPr>
      <w:r>
        <w:t>Analysis 2 (</w:t>
      </w:r>
      <w:r>
        <w:rPr>
          <w:rStyle w:val="VerbatimChar"/>
        </w:rPr>
        <w:t>scripts/S12_case_study_2.R</w:t>
      </w:r>
      <w:r>
        <w:t xml:space="preserve">): </w:t>
      </w:r>
      <w:r>
        <w:rPr>
          <w:rStyle w:val="VerbatimChar"/>
        </w:rPr>
        <w:t>iter = 5000</w:t>
      </w:r>
      <w:r>
        <w:t xml:space="preserve"> for key models, </w:t>
      </w:r>
      <w:r>
        <w:rPr>
          <w:rStyle w:val="VerbatimChar"/>
        </w:rPr>
        <w:t>seed = 5654</w:t>
      </w:r>
      <w:r>
        <w:t>, with additional control settings for GP fits.</w:t>
      </w:r>
    </w:p>
    <w:p w14:paraId="601A727F" w14:textId="77777777" w:rsidR="00846DFC" w:rsidRDefault="00000000">
      <w:pPr>
        <w:pStyle w:val="Compact"/>
        <w:numPr>
          <w:ilvl w:val="0"/>
          <w:numId w:val="4"/>
        </w:numPr>
      </w:pPr>
      <w:r>
        <w:t>Analysis 3 (</w:t>
      </w:r>
      <w:r>
        <w:rPr>
          <w:rStyle w:val="VerbatimChar"/>
        </w:rPr>
        <w:t>scripts/S14_case_study_3_astragalus.R</w:t>
      </w:r>
      <w:r>
        <w:t xml:space="preserve">): </w:t>
      </w:r>
      <w:r>
        <w:rPr>
          <w:rStyle w:val="VerbatimChar"/>
        </w:rPr>
        <w:t>iter = 5000</w:t>
      </w:r>
      <w:r>
        <w:t xml:space="preserve">, </w:t>
      </w:r>
      <w:r>
        <w:rPr>
          <w:rStyle w:val="VerbatimChar"/>
        </w:rPr>
        <w:t>seed = 5654</w:t>
      </w:r>
      <w:r>
        <w:t>, using the same GP control settings as analysis 2 for recruitment models and matched regression settings for the simplified spring-temperature models.</w:t>
      </w:r>
    </w:p>
    <w:p w14:paraId="71A758F0" w14:textId="77777777" w:rsidR="00846DFC" w:rsidRDefault="00000000">
      <w:pPr>
        <w:pStyle w:val="Heading2"/>
      </w:pPr>
      <w:bookmarkStart w:id="10" w:name="Xc13d16d5f8c0b49d14460c9210493b4c230fe11"/>
      <w:bookmarkStart w:id="11" w:name="_Toc226648407"/>
      <w:bookmarkEnd w:id="8"/>
      <w:r>
        <w:t>S1.5 Variance-component summary (sampling-to-other ratio)</w:t>
      </w:r>
      <w:bookmarkEnd w:id="11"/>
    </w:p>
    <w:p w14:paraId="3C0BD11F" w14:textId="77777777" w:rsidR="00846DFC" w:rsidRDefault="00000000">
      <w:pPr>
        <w:pStyle w:val="FirstParagraph"/>
      </w:pPr>
      <w:r>
        <w:t>For each parameter, the total observed variance was partitioned into:</w:t>
      </w:r>
    </w:p>
    <w:p w14:paraId="2C625553" w14:textId="77777777" w:rsidR="00846DFC" w:rsidRDefault="00000000">
      <w:pPr>
        <w:pStyle w:val="Compact"/>
        <w:numPr>
          <w:ilvl w:val="0"/>
          <w:numId w:val="5"/>
        </w:numPr>
      </w:pPr>
      <w:r>
        <w:t>sampling component: mean within-MPM sampling variance from bootstrap draws;</w:t>
      </w:r>
    </w:p>
    <w:p w14:paraId="53701A6E" w14:textId="77777777" w:rsidR="00846DFC" w:rsidRDefault="00000000">
      <w:pPr>
        <w:pStyle w:val="Compact"/>
        <w:numPr>
          <w:ilvl w:val="0"/>
          <w:numId w:val="5"/>
        </w:numPr>
      </w:pPr>
      <w:r>
        <w:t>residual component: remaining variance among populations/species.</w:t>
      </w:r>
    </w:p>
    <w:p w14:paraId="0EB2E088" w14:textId="77777777" w:rsidR="00846DFC" w:rsidRDefault="00000000">
      <w:pPr>
        <w:pStyle w:val="FirstParagraph"/>
      </w:pPr>
      <w:r>
        <w:t>The reported summary is Eq. (1):</w:t>
      </w:r>
    </w:p>
    <w:p w14:paraId="7F5C6A77" w14:textId="77777777" w:rsidR="00846DFC" w:rsidRDefault="00000000">
      <w:pPr>
        <w:pStyle w:val="BodyText"/>
      </w:pPr>
      <m:oMathPara>
        <m:oMathParaPr>
          <m:jc m:val="center"/>
        </m:oMathParaPr>
        <m:oMath>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sampling</m:t>
                  </m:r>
                </m:sub>
              </m:sSub>
            </m:num>
            <m:den>
              <m:sSub>
                <m:sSubPr>
                  <m:ctrlPr>
                    <w:rPr>
                      <w:rFonts w:ascii="Cambria Math" w:hAnsi="Cambria Math"/>
                    </w:rPr>
                  </m:ctrlPr>
                </m:sSubPr>
                <m:e>
                  <m:r>
                    <w:rPr>
                      <w:rFonts w:ascii="Cambria Math" w:hAnsi="Cambria Math"/>
                    </w:rPr>
                    <m:t>v</m:t>
                  </m:r>
                </m:e>
                <m:sub>
                  <m:r>
                    <m:rPr>
                      <m:nor/>
                    </m:rPr>
                    <m:t>residual</m:t>
                  </m:r>
                </m:sub>
              </m:sSub>
            </m:den>
          </m:f>
          <m:r>
            <w:rPr>
              <w:rFonts w:ascii="Cambria Math" w:hAnsi="Cambria Math"/>
            </w:rPr>
            <m:t>  </m:t>
          </m:r>
          <m:d>
            <m:dPr>
              <m:ctrlPr>
                <w:rPr>
                  <w:rFonts w:ascii="Cambria Math" w:hAnsi="Cambria Math"/>
                </w:rPr>
              </m:ctrlPr>
            </m:dPr>
            <m:e>
              <m:r>
                <w:rPr>
                  <w:rFonts w:ascii="Cambria Math" w:hAnsi="Cambria Math"/>
                </w:rPr>
                <m:t>1</m:t>
              </m:r>
            </m:e>
          </m:d>
        </m:oMath>
      </m:oMathPara>
    </w:p>
    <w:p w14:paraId="176D45C1" w14:textId="77777777" w:rsidR="00846DFC" w:rsidRDefault="00000000">
      <w:pPr>
        <w:pStyle w:val="FirstParagraph"/>
      </w:pPr>
      <w:r>
        <w:t>Ratios above 1 indicate that sampling uncertainty exceeds residual biological variation for that parameter.</w:t>
      </w:r>
    </w:p>
    <w:p w14:paraId="5619AD97" w14:textId="77777777" w:rsidR="00846DFC" w:rsidRDefault="00000000">
      <w:pPr>
        <w:pStyle w:val="Heading2"/>
      </w:pPr>
      <w:bookmarkStart w:id="12" w:name="Xd7a7a8d66a1e6f263c81c5cc18647f0f4d19afb"/>
      <w:bookmarkStart w:id="13" w:name="_Toc226648408"/>
      <w:bookmarkEnd w:id="10"/>
      <w:r>
        <w:t>S1.6 Simplified spring-temperature model (analysis 2)</w:t>
      </w:r>
      <w:bookmarkEnd w:id="13"/>
    </w:p>
    <w:p w14:paraId="322567B4" w14:textId="77777777" w:rsidR="00846DFC" w:rsidRDefault="00000000">
      <w:pPr>
        <w:pStyle w:val="FirstParagraph"/>
      </w:pPr>
      <w:r>
        <w:t>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14:paraId="600822CE" w14:textId="77777777" w:rsidR="00846DFC" w:rsidRDefault="00000000">
      <w:pPr>
        <w:pStyle w:val="BodyText"/>
      </w:pPr>
      <w:r>
        <w:t xml:space="preserve">For the stage-specific survival panel in analysis 2 (Fig. 5C), we derived annual stage-specific survival as the column sums of the </w:t>
      </w:r>
      <m:oMath>
        <m:r>
          <w:rPr>
            <w:rFonts w:ascii="Cambria Math" w:hAnsi="Cambria Math"/>
          </w:rPr>
          <m:t>U</m:t>
        </m:r>
      </m:oMath>
      <w:r>
        <w:t xml:space="preserve"> matrix for each year and stage, then compared two logit-</w:t>
      </w:r>
      <w:r>
        <w:lastRenderedPageBreak/>
        <w:t xml:space="preserve">scale models per stage: (i) a stable-stage distribution (SSD)-weighted quasibinomial point-estimate model, </w:t>
      </w:r>
      <m:oMath>
        <m:r>
          <m:rPr>
            <m:nor/>
          </m:rPr>
          <m:t>surv</m:t>
        </m:r>
        <m:r>
          <m:rPr>
            <m:sty m:val="p"/>
          </m:rPr>
          <w:rPr>
            <w:rFonts w:ascii="Cambria Math" w:hAnsi="Cambria Math"/>
          </w:rPr>
          <m:t>∼</m:t>
        </m:r>
        <m:r>
          <m:rPr>
            <m:nor/>
          </m:rPr>
          <m:t>tmp</m:t>
        </m:r>
      </m:oMath>
      <w:r>
        <w:t xml:space="preserve">, where weights are the stable stage distribution from each annual </w:t>
      </w:r>
      <m:oMath>
        <m:r>
          <w:rPr>
            <w:rFonts w:ascii="Cambria Math" w:hAnsi="Cambria Math"/>
          </w:rPr>
          <m:t>U</m:t>
        </m:r>
      </m:oMath>
      <w:r>
        <w:t xml:space="preserve"> matrix; and (ii) a binomial count model, </w:t>
      </w:r>
      <m:oMath>
        <m:r>
          <m:rPr>
            <m:nor/>
          </m:rPr>
          <m:t>cbind</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e>
        </m:d>
        <m:r>
          <m:rPr>
            <m:sty m:val="p"/>
          </m:rPr>
          <w:rPr>
            <w:rFonts w:ascii="Cambria Math" w:hAnsi="Cambria Math"/>
          </w:rPr>
          <m:t>∼</m:t>
        </m:r>
        <m:r>
          <m:rPr>
            <m:nor/>
          </m:rPr>
          <m:t>tmp</m:t>
        </m:r>
      </m:oMath>
      <w:r>
        <w:t xml:space="preserve">, where </w:t>
      </w:r>
      <m:oMath>
        <m:sSub>
          <m:sSubPr>
            <m:ctrlPr>
              <w:rPr>
                <w:rFonts w:ascii="Cambria Math" w:hAnsi="Cambria Math"/>
              </w:rPr>
            </m:ctrlPr>
          </m:sSubPr>
          <m:e>
            <m:r>
              <w:rPr>
                <w:rFonts w:ascii="Cambria Math" w:hAnsi="Cambria Math"/>
              </w:rPr>
              <m:t>n</m:t>
            </m:r>
          </m:e>
          <m:sub>
            <m:r>
              <m:rPr>
                <m:nor/>
              </m:rPr>
              <m:t>surv</m:t>
            </m:r>
          </m:sub>
        </m:sSub>
      </m:oMath>
      <w:r>
        <w:t xml:space="preserve"> and </w:t>
      </w:r>
      <m:oMath>
        <m:sSub>
          <m:sSubPr>
            <m:ctrlPr>
              <w:rPr>
                <w:rFonts w:ascii="Cambria Math" w:hAnsi="Cambria Math"/>
              </w:rPr>
            </m:ctrlPr>
          </m:sSubPr>
          <m:e>
            <m:r>
              <w:rPr>
                <w:rFonts w:ascii="Cambria Math" w:hAnsi="Cambria Math"/>
              </w:rPr>
              <m:t>n</m:t>
            </m:r>
          </m:e>
          <m:sub>
            <m:r>
              <m:rPr>
                <m:nor/>
              </m:rPr>
              <m:t>fail</m:t>
            </m:r>
          </m:sub>
        </m:sSub>
      </m:oMath>
      <w:r>
        <w:t xml:space="preserve"> are survived and non-survived counts implied by stage sample size and </w:t>
      </w:r>
      <m:oMath>
        <m:r>
          <w:rPr>
            <w:rFonts w:ascii="Cambria Math" w:hAnsi="Cambria Math"/>
          </w:rPr>
          <m:t>U</m:t>
        </m:r>
      </m:oMath>
      <w:r>
        <w:t>-column survival probability.</w:t>
      </w:r>
    </w:p>
    <w:p w14:paraId="332C1E71" w14:textId="77777777" w:rsidR="00846DFC" w:rsidRDefault="00000000">
      <w:pPr>
        <w:pStyle w:val="Heading2"/>
      </w:pPr>
      <w:bookmarkStart w:id="14" w:name="Xabdd8963e3bf675488f85ec63330b0c7b06d635"/>
      <w:bookmarkStart w:id="15" w:name="_Toc226648409"/>
      <w:bookmarkEnd w:id="12"/>
      <w:r>
        <w:t>S1.7 Reporting recommendations for future MPM studies</w:t>
      </w:r>
      <w:bookmarkEnd w:id="15"/>
    </w:p>
    <w:p w14:paraId="3E989437" w14:textId="77777777" w:rsidR="00846DFC" w:rsidRDefault="00000000">
      <w:pPr>
        <w:pStyle w:val="FirstParagraph"/>
      </w:pPr>
      <w:r>
        <w:t>To support uncertainty propagation in secondary analyses, primary studies should report (at a minimum):</w:t>
      </w:r>
    </w:p>
    <w:p w14:paraId="7E7AE089" w14:textId="77777777" w:rsidR="00846DFC" w:rsidRDefault="00000000">
      <w:pPr>
        <w:pStyle w:val="Compact"/>
        <w:numPr>
          <w:ilvl w:val="0"/>
          <w:numId w:val="6"/>
        </w:numPr>
      </w:pPr>
      <w:r>
        <w:t>transition-level sample sizes for each matrix element (or reconstructable transition count tables);</w:t>
      </w:r>
    </w:p>
    <w:p w14:paraId="4B04F0D0" w14:textId="77777777" w:rsidR="00846DFC" w:rsidRDefault="00000000">
      <w:pPr>
        <w:pStyle w:val="Compact"/>
        <w:numPr>
          <w:ilvl w:val="0"/>
          <w:numId w:val="6"/>
        </w:numPr>
      </w:pPr>
      <w:r>
        <w:t>clear identification of pooled/mean matrices and pooling rules;</w:t>
      </w:r>
    </w:p>
    <w:p w14:paraId="17973DF2" w14:textId="77777777" w:rsidR="00846DFC" w:rsidRDefault="00000000">
      <w:pPr>
        <w:pStyle w:val="Compact"/>
        <w:numPr>
          <w:ilvl w:val="0"/>
          <w:numId w:val="6"/>
        </w:numPr>
      </w:pPr>
      <w:r>
        <w:t>uncertainty estimates on model-appropriate scales (e.g. linear predictor where relevant);</w:t>
      </w:r>
    </w:p>
    <w:p w14:paraId="20303359" w14:textId="77777777" w:rsidR="00846DFC" w:rsidRDefault="00000000">
      <w:pPr>
        <w:pStyle w:val="Compact"/>
        <w:numPr>
          <w:ilvl w:val="0"/>
          <w:numId w:val="6"/>
        </w:numPr>
      </w:pPr>
      <w:r>
        <w:t>explicit projection interval, stage definitions, and treatment filters used to derive published matrices.</w:t>
      </w:r>
    </w:p>
    <w:p w14:paraId="742EAD47" w14:textId="77777777" w:rsidR="00846DFC" w:rsidRDefault="00000000">
      <w:pPr>
        <w:pStyle w:val="FirstParagraph"/>
      </w:pPr>
      <w:r>
        <w:t>These items are usually sufficient for parametric uncertainty reconstruction in compiled databases.</w:t>
      </w:r>
    </w:p>
    <w:p w14:paraId="3DBA75BA" w14:textId="77777777" w:rsidR="00846DFC" w:rsidRDefault="00000000">
      <w:pPr>
        <w:pStyle w:val="Heading2"/>
      </w:pPr>
      <w:bookmarkStart w:id="16" w:name="X673af67ed43224aff21550b61d48c598bc599d3"/>
      <w:bookmarkStart w:id="17" w:name="_Toc226648410"/>
      <w:bookmarkEnd w:id="14"/>
      <w:r>
        <w:t>S1.8 Study and species identities in analysis 1</w:t>
      </w:r>
      <w:bookmarkEnd w:id="17"/>
    </w:p>
    <w:p w14:paraId="354340DB" w14:textId="77777777" w:rsidR="00846DFC" w:rsidRDefault="00000000">
      <w:pPr>
        <w:pStyle w:val="FirstParagraph"/>
      </w:pPr>
      <w:r>
        <w:t xml:space="preserve">Analysis 1 used a subset of the full compiled dataset: 68 population-level entries representing 25 species. Study-level and species-level identities (including COMPADRE </w:t>
      </w:r>
      <w:r>
        <w:rPr>
          <w:rStyle w:val="VerbatimChar"/>
        </w:rPr>
        <w:t>SpeciesAuthor</w:t>
      </w:r>
      <w:r>
        <w:t xml:space="preserve"> labels) are provided in Table S6.</w:t>
      </w:r>
    </w:p>
    <w:p w14:paraId="701BD4B1" w14:textId="77777777" w:rsidR="00846DFC" w:rsidRDefault="00000000">
      <w:pPr>
        <w:pStyle w:val="Heading2"/>
      </w:pPr>
      <w:bookmarkStart w:id="18" w:name="X55610f327a7c88ede596a8c62793d30e621a693"/>
      <w:bookmarkStart w:id="19" w:name="_Toc226648411"/>
      <w:bookmarkEnd w:id="16"/>
      <w:r>
        <w:t>S1.9 Multi-site extension for analysis 3 (Astragalus scaphoides)</w:t>
      </w:r>
      <w:bookmarkEnd w:id="19"/>
    </w:p>
    <w:p w14:paraId="76BB80E9" w14:textId="77777777" w:rsidR="00846DFC" w:rsidRDefault="00000000">
      <w:pPr>
        <w:pStyle w:val="FirstParagraph"/>
      </w:pPr>
      <w:r>
        <w:t xml:space="preserve">To evaluate whether inference robustness in analysis 2 generalised across populations, we repeated the same paired modelling framework for all available </w:t>
      </w:r>
      <w:r>
        <w:rPr>
          <w:i/>
          <w:iCs/>
        </w:rPr>
        <w:t>Astragalus scaphoides</w:t>
      </w:r>
      <w:r>
        <w:t xml:space="preserve"> sites with </w:t>
      </w:r>
      <w:r>
        <w:lastRenderedPageBreak/>
        <w:t>sufficient annual coverage. For each site, we fit (i) a point-estimate model 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isolates the contribution of uncertainty propagation while preserving site-specific ecological context.</w:t>
      </w:r>
    </w:p>
    <w:p w14:paraId="124D592B" w14:textId="77777777" w:rsidR="00846DFC" w:rsidRDefault="00000000">
      <w:pPr>
        <w:pStyle w:val="BodyText"/>
      </w:pPr>
      <w:r>
        <w:t>For stage-specific survival in analysis 3, we used the same matched pair as in analysis 2: an SSD-weighted quasibinomial point-estimate model (</w:t>
      </w:r>
      <m:oMath>
        <m:r>
          <m:rPr>
            <m:nor/>
          </m:rPr>
          <m:t>surv</m:t>
        </m:r>
        <m:r>
          <m:rPr>
            <m:sty m:val="p"/>
          </m:rPr>
          <w:rPr>
            <w:rFonts w:ascii="Cambria Math" w:hAnsi="Cambria Math"/>
          </w:rPr>
          <m:t>∼</m:t>
        </m:r>
        <m:r>
          <m:rPr>
            <m:nor/>
          </m:rPr>
          <m:t>tmp</m:t>
        </m:r>
      </m:oMath>
      <w:r>
        <w:t xml:space="preserve">, weights from the stable stage distribution of each annual </w:t>
      </w:r>
      <m:oMath>
        <m:r>
          <w:rPr>
            <w:rFonts w:ascii="Cambria Math" w:hAnsi="Cambria Math"/>
          </w:rPr>
          <m:t>U</m:t>
        </m:r>
      </m:oMath>
      <w:r>
        <w:t xml:space="preserve"> matrix) and a binomial count model (</w:t>
      </w:r>
      <m:oMath>
        <m:r>
          <m:rPr>
            <m:nor/>
          </m:rPr>
          <m:t>cbind</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e>
        </m:d>
        <m:r>
          <m:rPr>
            <m:sty m:val="p"/>
          </m:rPr>
          <w:rPr>
            <w:rFonts w:ascii="Cambria Math" w:hAnsi="Cambria Math"/>
          </w:rPr>
          <m:t>∼</m:t>
        </m:r>
        <m:r>
          <m:rPr>
            <m:nor/>
          </m:rPr>
          <m:t>tmp</m:t>
        </m:r>
      </m:oMath>
      <w:r>
        <w:t>). This keeps the linear predictor and response scale aligned across formulations, differing only in whether survival is treated as a plug-in proportion or as counts with explicit sampling uncertainty.</w:t>
      </w:r>
    </w:p>
    <w:p w14:paraId="3C62771A" w14:textId="77777777" w:rsidR="00846DFC" w:rsidRDefault="00000000">
      <w:pPr>
        <w:pStyle w:val="BodyText"/>
      </w:pPr>
      <w:r>
        <w:t xml:space="preserve">For sensitivity analyses intended to mimic database-only use (no access to true stage sample sizes), we re-fit stage-specific point-estimate models under two alternatives: (i) no weighting and (ii) SSD weighting derived from each annual </w:t>
      </w:r>
      <m:oMath>
        <m:r>
          <w:rPr>
            <w:rFonts w:ascii="Cambria Math" w:hAnsi="Cambria Math"/>
          </w:rPr>
          <m:t>U</m:t>
        </m:r>
      </m:oMath>
      <w:r>
        <w:t xml:space="preserve"> matrix.</w:t>
      </w:r>
    </w:p>
    <w:p w14:paraId="287FE7EE" w14:textId="77777777" w:rsidR="00846DFC" w:rsidRDefault="00000000">
      <w:pPr>
        <w:pStyle w:val="Heading1"/>
      </w:pPr>
      <w:bookmarkStart w:id="20" w:name="supplementary-results"/>
      <w:bookmarkStart w:id="21" w:name="_Toc226648412"/>
      <w:bookmarkEnd w:id="0"/>
      <w:bookmarkEnd w:id="18"/>
      <w:r>
        <w:t>Supplementary Results</w:t>
      </w:r>
      <w:bookmarkEnd w:id="21"/>
    </w:p>
    <w:p w14:paraId="4DF153E0" w14:textId="77777777" w:rsidR="00846DFC" w:rsidRDefault="00000000">
      <w:pPr>
        <w:pStyle w:val="Heading2"/>
      </w:pPr>
      <w:bookmarkStart w:id="22" w:name="Xb9dbb5729d5192ad1efcc753c5a6a6c3d38d456"/>
      <w:bookmarkStart w:id="23" w:name="_Toc226648413"/>
      <w:r>
        <w:t>S2.1 Sensitivity to point-estimate weighting choice</w:t>
      </w:r>
      <w:bookmarkEnd w:id="23"/>
    </w:p>
    <w:p w14:paraId="3E2B9DFA" w14:textId="77777777" w:rsidR="00846DFC" w:rsidRDefault="00000000">
      <w:pPr>
        <w:pStyle w:val="FirstParagraph"/>
      </w:pPr>
      <w:r>
        <w:t>Across estimable stages in analysis 2, switching from no weighting to SSD weighting changed temperature-coefficient medians by at most 0.142 on the logit scale, with interval widths changing by -0.045 to 0.614 (Table S9).</w:t>
      </w:r>
    </w:p>
    <w:p w14:paraId="2A58655A" w14:textId="77777777" w:rsidR="00846DFC" w:rsidRDefault="00000000">
      <w:pPr>
        <w:pStyle w:val="BodyText"/>
      </w:pPr>
      <w:r>
        <w:t xml:space="preserve">Across estimable site-stage combinations in analysis 3, the corresponding maximum absolute median shift was 0.912, and interval-width differences ranged from -0.512 to 1.526 (Table S10). </w:t>
      </w:r>
      <w:r>
        <w:lastRenderedPageBreak/>
        <w:t>These sensitivity checks show how weighting assumptions alter point-estimate uncertainty when true stage sample sizes are unavailable.</w:t>
      </w:r>
    </w:p>
    <w:p w14:paraId="1C34E5E5" w14:textId="77777777" w:rsidR="00846DFC" w:rsidRDefault="00000000">
      <w:pPr>
        <w:pStyle w:val="Heading1"/>
      </w:pPr>
      <w:bookmarkStart w:id="24" w:name="supplementary-tables"/>
      <w:bookmarkStart w:id="25" w:name="_Toc226648414"/>
      <w:bookmarkEnd w:id="20"/>
      <w:bookmarkEnd w:id="22"/>
      <w:r>
        <w:t>Supplementary Tables</w:t>
      </w:r>
      <w:bookmarkEnd w:id="25"/>
    </w:p>
    <w:p w14:paraId="34643E82" w14:textId="77777777" w:rsidR="00846DFC" w:rsidRDefault="00000000">
      <w:pPr>
        <w:pStyle w:val="FirstParagraph"/>
      </w:pPr>
      <w:r>
        <w:t xml:space="preserve">Table S1. Single-MPM derived-parameter summary for the focal </w:t>
      </w:r>
      <w:r>
        <w:rPr>
          <w:i/>
          <w:iCs/>
        </w:rPr>
        <w:t>Agrimonia eupatoria</w:t>
      </w:r>
      <w:r>
        <w:t xml:space="preserve"> example. Reported values are point estimates and uncertainty intervals from parametric bootstrap sampling distributions, showing substantial uncertainty for several derived demographic quantities.</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846DFC" w14:paraId="16A1A80B"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BEE38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BBE3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DD7D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F31D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80F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846DFC" w14:paraId="4C5081A8"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8784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095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0.943</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428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7E89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351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0.956</w:t>
            </w:r>
          </w:p>
        </w:tc>
      </w:tr>
      <w:tr w:rsidR="00846DFC" w14:paraId="23FEE85A"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AEBF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25B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2C62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8BCD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1EC9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1.310</w:t>
            </w:r>
          </w:p>
        </w:tc>
      </w:tr>
      <w:tr w:rsidR="00846DFC" w14:paraId="6FC0ADD8"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89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Reproductive value (vegetative stage)</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A36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02DD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B43E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15.000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8FAF7"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2AE86152"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28A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Elasticity</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7AD1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864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A734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0.558</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60486"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266094A3"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A5C0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 (</w:t>
            </w:r>
            <w:r>
              <w:rPr>
                <w:rFonts w:ascii="Helvetica" w:eastAsia="Helvetica" w:hAnsi="Helvetica" w:cs="Helvetica"/>
                <w:i/>
                <w:color w:val="000000"/>
                <w:sz w:val="22"/>
                <w:szCs w:val="22"/>
              </w:rPr>
              <w:t>T</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7A0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25.900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90CF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2CA6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58.100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AA7B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31.500</w:t>
            </w:r>
          </w:p>
        </w:tc>
      </w:tr>
      <w:tr w:rsidR="00846DFC" w14:paraId="2BB2BA44"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2E86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BE58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6.650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0776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3.600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0A53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17.900</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E4AA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7.840</w:t>
            </w:r>
          </w:p>
        </w:tc>
      </w:tr>
    </w:tbl>
    <w:p w14:paraId="02A09521" w14:textId="77777777" w:rsidR="00846DFC" w:rsidRDefault="00000000">
      <w:r>
        <w:br w:type="page"/>
      </w:r>
    </w:p>
    <w:p w14:paraId="6585BEF8" w14:textId="77777777" w:rsidR="00846DFC" w:rsidRDefault="00000000">
      <w:pPr>
        <w:pStyle w:val="BodyText"/>
      </w:pPr>
      <w:r>
        <w:lastRenderedPageBreak/>
        <w:t xml:space="preserve">Table S2. Mean-MPM derived-parameter summary for the focal </w:t>
      </w:r>
      <w:r>
        <w:rPr>
          <w:i/>
          <w:iCs/>
        </w:rPr>
        <w:t>Agrimonia eupatoria</w:t>
      </w:r>
      <w:r>
        <w:t xml:space="preserve"> example (population B). Point estimates are compared with sampling-distribution summaries to show how pooling/averaging changes central tendency and uncertainty relative to the single-MPM case.</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846DFC" w14:paraId="15BE50B5"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C21D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AF5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F37F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2126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820C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846DFC" w14:paraId="62DFE0FC"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ADE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A8E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64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575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2.16</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B59C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1.930</w:t>
            </w:r>
          </w:p>
        </w:tc>
      </w:tr>
      <w:tr w:rsidR="00846DFC" w14:paraId="4182C24E"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1E8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A177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36A4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1002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FDA9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0.958</w:t>
            </w:r>
          </w:p>
        </w:tc>
      </w:tr>
      <w:tr w:rsidR="00846DFC" w14:paraId="4D9881E4"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4FB2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5138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1.430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B6A5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1.25</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AE02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5DE2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1.370</w:t>
            </w:r>
          </w:p>
        </w:tc>
      </w:tr>
    </w:tbl>
    <w:p w14:paraId="6EBBEE1A" w14:textId="77777777" w:rsidR="00846DFC" w:rsidRDefault="00000000">
      <w:r>
        <w:br w:type="page"/>
      </w:r>
    </w:p>
    <w:p w14:paraId="3AAA5953" w14:textId="77777777" w:rsidR="00846DFC" w:rsidRDefault="00000000">
      <w:pPr>
        <w:pStyle w:val="BodyText"/>
      </w:pPr>
      <w:r>
        <w:lastRenderedPageBreak/>
        <w:t>Table S3. Analysis 1 posterior summary for the slope parameter (β) in the life expectancy-shape model. The uncertainty-aware model shows greater posterior support for β &gt; 0 than the point-estimate model.</w:t>
      </w:r>
    </w:p>
    <w:tbl>
      <w:tblPr>
        <w:tblW w:w="0" w:type="auto"/>
        <w:jc w:val="center"/>
        <w:tblLayout w:type="fixed"/>
        <w:tblLook w:val="0420" w:firstRow="1" w:lastRow="0" w:firstColumn="0" w:lastColumn="0" w:noHBand="0" w:noVBand="1"/>
      </w:tblPr>
      <w:tblGrid>
        <w:gridCol w:w="3541"/>
        <w:gridCol w:w="1622"/>
        <w:gridCol w:w="1511"/>
        <w:gridCol w:w="1511"/>
        <w:gridCol w:w="1505"/>
      </w:tblGrid>
      <w:tr w:rsidR="00846DFC" w14:paraId="3CF0E06E" w14:textId="77777777">
        <w:trPr>
          <w:tblHeader/>
          <w:jc w:val="center"/>
        </w:trPr>
        <w:tc>
          <w:tcPr>
            <w:tcW w:w="35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1A4F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33D9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EFF8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8ED6D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5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57B8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P(beta &gt; 0)</w:t>
            </w:r>
          </w:p>
        </w:tc>
      </w:tr>
      <w:tr w:rsidR="00846DFC" w14:paraId="48C9C42A" w14:textId="77777777">
        <w:trPr>
          <w:jc w:val="center"/>
        </w:trPr>
        <w:tc>
          <w:tcPr>
            <w:tcW w:w="35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EB57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using 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5CB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2FC4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-0.053</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AFC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5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D89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0.146</w:t>
            </w:r>
          </w:p>
        </w:tc>
      </w:tr>
      <w:tr w:rsidR="00846DFC" w14:paraId="39E03BB6" w14:textId="77777777">
        <w:trPr>
          <w:jc w:val="center"/>
        </w:trPr>
        <w:tc>
          <w:tcPr>
            <w:tcW w:w="35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758A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with 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90A6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17B2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E9FE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80EE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0.770</w:t>
            </w:r>
          </w:p>
        </w:tc>
      </w:tr>
    </w:tbl>
    <w:p w14:paraId="6A5F8AC2" w14:textId="77777777" w:rsidR="00846DFC" w:rsidRDefault="00000000">
      <w:r>
        <w:br w:type="page"/>
      </w:r>
    </w:p>
    <w:p w14:paraId="6E5B25EA" w14:textId="77777777" w:rsidR="00846DFC" w:rsidRDefault="00000000">
      <w:pPr>
        <w:pStyle w:val="BodyText"/>
      </w:pPr>
      <w:r>
        <w:lastRenderedPageBreak/>
        <w:t>Table S4. Analysis 2 Gaussian-process regression coefficients (monthly lags) for recruitment responses to temperature anomalies. Lag-specific posterior summaries are similar between point-estimate and uncertainty-aware model formulations.</w:t>
      </w:r>
    </w:p>
    <w:tbl>
      <w:tblPr>
        <w:tblW w:w="0" w:type="auto"/>
        <w:jc w:val="center"/>
        <w:tblLayout w:type="fixed"/>
        <w:tblLook w:val="0420" w:firstRow="1" w:lastRow="0" w:firstColumn="0" w:lastColumn="0" w:noHBand="0" w:noVBand="1"/>
      </w:tblPr>
      <w:tblGrid>
        <w:gridCol w:w="778"/>
        <w:gridCol w:w="2465"/>
        <w:gridCol w:w="1622"/>
        <w:gridCol w:w="1511"/>
        <w:gridCol w:w="1511"/>
        <w:gridCol w:w="1095"/>
      </w:tblGrid>
      <w:tr w:rsidR="00846DFC" w14:paraId="470362BC" w14:textId="77777777">
        <w:trPr>
          <w:tblHeader/>
          <w:jc w:val="center"/>
        </w:trPr>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A825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w:t>
            </w:r>
          </w:p>
        </w:tc>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7E31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05A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D00F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A55B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0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7862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lag_err</w:t>
            </w:r>
          </w:p>
        </w:tc>
      </w:tr>
      <w:tr w:rsidR="00846DFC" w14:paraId="317E6B40" w14:textId="77777777">
        <w:trPr>
          <w:jc w:val="center"/>
        </w:trPr>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F9FD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3B0E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677C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E738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3A2A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0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447A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r>
      <w:tr w:rsidR="00846DFC" w14:paraId="15DDEB4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540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9AE2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ADC0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77B1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A01F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9333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w:t>
            </w:r>
          </w:p>
        </w:tc>
      </w:tr>
      <w:tr w:rsidR="00846DFC" w14:paraId="6323461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865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737B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1BF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D9DE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6B7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B08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2.82</w:t>
            </w:r>
          </w:p>
        </w:tc>
      </w:tr>
      <w:tr w:rsidR="00846DFC" w14:paraId="71AF722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5BFB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DE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F3E8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F523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2855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12CC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3.82</w:t>
            </w:r>
          </w:p>
        </w:tc>
      </w:tr>
      <w:tr w:rsidR="00846DFC" w14:paraId="4FC5F4E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C4F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4D84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82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66A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D1B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F48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4.82</w:t>
            </w:r>
          </w:p>
        </w:tc>
      </w:tr>
      <w:tr w:rsidR="00846DFC" w14:paraId="427A176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2264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3472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DF5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1978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FA7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8A5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5.82</w:t>
            </w:r>
          </w:p>
        </w:tc>
      </w:tr>
      <w:tr w:rsidR="00846DFC" w14:paraId="3A2CCD0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72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6DEB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12A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DB7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65C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885A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6.82</w:t>
            </w:r>
          </w:p>
        </w:tc>
      </w:tr>
      <w:tr w:rsidR="00846DFC" w14:paraId="08F5A78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38D6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1AF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8281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89D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D42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DBE9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7.82</w:t>
            </w:r>
          </w:p>
        </w:tc>
      </w:tr>
      <w:tr w:rsidR="00846DFC" w14:paraId="1582902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7FB5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245F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4181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DC72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335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0.538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09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8.82</w:t>
            </w:r>
          </w:p>
        </w:tc>
      </w:tr>
      <w:tr w:rsidR="00846DFC" w14:paraId="4C3F034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DFA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D99D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423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08D6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45D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95E2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9.82</w:t>
            </w:r>
          </w:p>
        </w:tc>
      </w:tr>
      <w:tr w:rsidR="00846DFC" w14:paraId="163B627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51D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AFC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54D7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8E1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A3F2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A95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10.80</w:t>
            </w:r>
          </w:p>
        </w:tc>
      </w:tr>
      <w:tr w:rsidR="00846DFC" w14:paraId="3167B11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C823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C207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56C3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3ED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A6F1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430F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11.80</w:t>
            </w:r>
          </w:p>
        </w:tc>
      </w:tr>
      <w:tr w:rsidR="00846DFC" w14:paraId="5B4B79A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FF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88D4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1DCC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07AC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37AD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B58D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12.80</w:t>
            </w:r>
          </w:p>
        </w:tc>
      </w:tr>
      <w:tr w:rsidR="00846DFC" w14:paraId="57F089B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613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5C7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116E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5A7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5EE2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479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13.80</w:t>
            </w:r>
          </w:p>
        </w:tc>
      </w:tr>
      <w:tr w:rsidR="00846DFC" w14:paraId="4CC1292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099E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D445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4203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B61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C81D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02E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14.80</w:t>
            </w:r>
          </w:p>
        </w:tc>
      </w:tr>
      <w:tr w:rsidR="00846DFC" w14:paraId="350300D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D9C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14C4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886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682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A6F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B22C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15.80</w:t>
            </w:r>
          </w:p>
        </w:tc>
      </w:tr>
      <w:tr w:rsidR="00846DFC" w14:paraId="02C3C45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43E4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6F6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92D2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61D5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15DB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502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16.80</w:t>
            </w:r>
          </w:p>
        </w:tc>
      </w:tr>
      <w:tr w:rsidR="00846DFC" w14:paraId="12B7297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F36B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3A5F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1B84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A9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C499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C36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17.80</w:t>
            </w:r>
          </w:p>
        </w:tc>
      </w:tr>
      <w:tr w:rsidR="00846DFC" w14:paraId="0F60E84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BFB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F6B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5DAD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A515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3B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394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r w:rsidR="00846DFC" w14:paraId="7AC1C82C"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B90D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F24B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B62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BC8D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BAD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2A2F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19.80</w:t>
            </w:r>
          </w:p>
        </w:tc>
      </w:tr>
      <w:tr w:rsidR="00846DFC" w14:paraId="1808849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2AE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E7E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0C98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14CB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-0.306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8DEA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25BC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r w:rsidR="00846DFC" w14:paraId="666A5FD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45D4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D89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2E48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4FAB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209E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2C63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21.80</w:t>
            </w:r>
          </w:p>
        </w:tc>
      </w:tr>
      <w:tr w:rsidR="00846DFC" w14:paraId="5DE244F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C196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7F4F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779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41AD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5AA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0A3A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22.80</w:t>
            </w:r>
          </w:p>
        </w:tc>
      </w:tr>
      <w:tr w:rsidR="00846DFC" w14:paraId="4AC21F2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C534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AB2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7E75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CA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C94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C1E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23.80</w:t>
            </w:r>
          </w:p>
        </w:tc>
      </w:tr>
      <w:tr w:rsidR="00846DFC" w14:paraId="39D1DC4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D94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98F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959E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AA99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9DCC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8C7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w:t>
            </w:r>
          </w:p>
        </w:tc>
      </w:tr>
      <w:tr w:rsidR="00846DFC" w14:paraId="036B5C9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F70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697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49EC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B0A6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A3B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FE46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w:t>
            </w:r>
          </w:p>
        </w:tc>
      </w:tr>
      <w:tr w:rsidR="00846DFC" w14:paraId="28EE21E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577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429B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9E1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4E3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666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975E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3.18</w:t>
            </w:r>
          </w:p>
        </w:tc>
      </w:tr>
      <w:tr w:rsidR="00846DFC" w14:paraId="1443D23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83B3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5919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E2B8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FC8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93FA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AB7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4.18</w:t>
            </w:r>
          </w:p>
        </w:tc>
      </w:tr>
      <w:tr w:rsidR="00846DFC" w14:paraId="069B520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548D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798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8A1A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F15D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557C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47CF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5.18</w:t>
            </w:r>
          </w:p>
        </w:tc>
      </w:tr>
      <w:tr w:rsidR="00846DFC" w14:paraId="1915033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636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1561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961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7D4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1BCB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2CE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6.18</w:t>
            </w:r>
          </w:p>
        </w:tc>
      </w:tr>
      <w:tr w:rsidR="00846DFC" w14:paraId="3C5EA40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82B6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7FA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D584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097B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97EA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0.615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DB75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7.18</w:t>
            </w:r>
          </w:p>
        </w:tc>
      </w:tr>
      <w:tr w:rsidR="00846DFC" w14:paraId="31A4423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4E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B9E4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153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F79E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B4B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0.631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4A40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8.18</w:t>
            </w:r>
          </w:p>
        </w:tc>
      </w:tr>
      <w:tr w:rsidR="00846DFC" w14:paraId="5F2F67C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DAE0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AC95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A02C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9DB7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56D8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698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9.18</w:t>
            </w:r>
          </w:p>
        </w:tc>
      </w:tr>
      <w:tr w:rsidR="00846DFC" w14:paraId="77F7539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DD24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C1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3137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D9D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471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9D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10.20</w:t>
            </w:r>
          </w:p>
        </w:tc>
      </w:tr>
      <w:tr w:rsidR="00846DFC" w14:paraId="24F4EE4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F3AC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932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FA4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3825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BADE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50A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11.20</w:t>
            </w:r>
          </w:p>
        </w:tc>
      </w:tr>
      <w:tr w:rsidR="00846DFC" w14:paraId="3F69C27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540C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2F43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0180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7B9C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E3E2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A04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12.20</w:t>
            </w:r>
          </w:p>
        </w:tc>
      </w:tr>
      <w:tr w:rsidR="00846DFC" w14:paraId="7475E12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5A81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F67C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D382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EBF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3A5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68A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13.20</w:t>
            </w:r>
          </w:p>
        </w:tc>
      </w:tr>
      <w:tr w:rsidR="00846DFC" w14:paraId="3FB492F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C993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EEEC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A542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478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45E3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18B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14.20</w:t>
            </w:r>
          </w:p>
        </w:tc>
      </w:tr>
      <w:tr w:rsidR="00846DFC" w14:paraId="23AB7F9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760E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C6C5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D5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F09B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5254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4B0B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15.20</w:t>
            </w:r>
          </w:p>
        </w:tc>
      </w:tr>
      <w:tr w:rsidR="00846DFC" w14:paraId="17C7C0E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D4E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8E1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03C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3C0B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E5F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A76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16.20</w:t>
            </w:r>
          </w:p>
        </w:tc>
      </w:tr>
      <w:tr w:rsidR="00846DFC" w14:paraId="25DC51D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987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8B21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2AA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D34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4F9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E688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17.20</w:t>
            </w:r>
          </w:p>
        </w:tc>
      </w:tr>
      <w:tr w:rsidR="00846DFC" w14:paraId="0E9258A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B8BC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F1F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A3A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245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157E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51BA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18.20</w:t>
            </w:r>
          </w:p>
        </w:tc>
      </w:tr>
      <w:tr w:rsidR="00846DFC" w14:paraId="0F29CF3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055C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7EC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1E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3D92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FFC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7D8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r>
      <w:tr w:rsidR="00846DFC" w14:paraId="05E0FF0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757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7C2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DB70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3D06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FBE9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05EC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20.20</w:t>
            </w:r>
          </w:p>
        </w:tc>
      </w:tr>
      <w:tr w:rsidR="00846DFC" w14:paraId="5AE7852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4068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C681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18FB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3787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037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ACA1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21.20</w:t>
            </w:r>
          </w:p>
        </w:tc>
      </w:tr>
      <w:tr w:rsidR="00846DFC" w14:paraId="41C872E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4CB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900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03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7D2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227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6A6C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r>
      <w:tr w:rsidR="00846DFC" w14:paraId="0A19D1D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457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6E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9304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AD6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2C05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A3ED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23.20</w:t>
            </w:r>
          </w:p>
        </w:tc>
      </w:tr>
      <w:tr w:rsidR="00846DFC" w14:paraId="754277D0" w14:textId="77777777">
        <w:trPr>
          <w:jc w:val="center"/>
        </w:trPr>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4EC9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6415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46701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-0.013</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6098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75EB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9B64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24.20</w:t>
            </w:r>
          </w:p>
        </w:tc>
      </w:tr>
    </w:tbl>
    <w:p w14:paraId="11FB6558" w14:textId="77777777" w:rsidR="00846DFC" w:rsidRDefault="00000000">
      <w:r>
        <w:br w:type="page"/>
      </w:r>
    </w:p>
    <w:p w14:paraId="746BA154" w14:textId="77777777" w:rsidR="00846DFC" w:rsidRDefault="00000000">
      <w:pPr>
        <w:pStyle w:val="BodyText"/>
      </w:pPr>
      <w:r>
        <w:lastRenderedPageBreak/>
        <w:t>Table S5. Analysis 2 posterior summary for the spring-temperature coefficient. Point-estimate and uncertainty-aware models yield similar medians and interval widths, indicating limited effect of uncertainty propagation on this coefficient.</w:t>
      </w:r>
    </w:p>
    <w:tbl>
      <w:tblPr>
        <w:tblW w:w="0" w:type="auto"/>
        <w:jc w:val="center"/>
        <w:tblLayout w:type="fixed"/>
        <w:tblLook w:val="0420" w:firstRow="1" w:lastRow="0" w:firstColumn="0" w:lastColumn="0" w:noHBand="0" w:noVBand="1"/>
      </w:tblPr>
      <w:tblGrid>
        <w:gridCol w:w="2465"/>
        <w:gridCol w:w="1132"/>
        <w:gridCol w:w="1511"/>
        <w:gridCol w:w="1511"/>
      </w:tblGrid>
      <w:tr w:rsidR="00846DFC" w14:paraId="22290E74" w14:textId="77777777">
        <w:trPr>
          <w:tblHeader/>
          <w:jc w:val="center"/>
        </w:trPr>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914D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1699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C14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33113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846DFC" w14:paraId="32DB47A8" w14:textId="77777777">
        <w:trPr>
          <w:jc w:val="center"/>
        </w:trPr>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41F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AB78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B5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CE21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w:t>
            </w:r>
          </w:p>
        </w:tc>
      </w:tr>
      <w:tr w:rsidR="00846DFC" w14:paraId="768DB2C5" w14:textId="77777777">
        <w:trPr>
          <w:jc w:val="center"/>
        </w:trPr>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8B8B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255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78FCB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348D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2.33</w:t>
            </w:r>
          </w:p>
        </w:tc>
      </w:tr>
    </w:tbl>
    <w:p w14:paraId="351033F7" w14:textId="77777777" w:rsidR="00846DFC" w:rsidRDefault="00000000">
      <w:r>
        <w:br w:type="page"/>
      </w:r>
    </w:p>
    <w:p w14:paraId="49A66312" w14:textId="77777777" w:rsidR="00846DFC" w:rsidRDefault="00000000">
      <w:pPr>
        <w:pStyle w:val="BodyText"/>
      </w:pPr>
      <w:r>
        <w:lastRenderedPageBreak/>
        <w:t>Table S6. Primary studies represented in the analysis subset, as identified in COMPADRE. For matrix-level metadata and source-link details beyond this summary, refer to the COMPADRE database record for each study.</w:t>
      </w:r>
    </w:p>
    <w:tbl>
      <w:tblPr>
        <w:tblW w:w="0" w:type="auto"/>
        <w:jc w:val="center"/>
        <w:tblLayout w:type="fixed"/>
        <w:tblLook w:val="0420" w:firstRow="1" w:lastRow="0" w:firstColumn="0" w:lastColumn="0" w:noHBand="0" w:noVBand="1"/>
      </w:tblPr>
      <w:tblGrid>
        <w:gridCol w:w="720"/>
        <w:gridCol w:w="648"/>
        <w:gridCol w:w="1440"/>
        <w:gridCol w:w="1368"/>
        <w:gridCol w:w="3528"/>
      </w:tblGrid>
      <w:tr w:rsidR="00846DFC" w14:paraId="0904776B"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3894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Authors</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707B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Year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5EFE6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Journal</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2548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DOI</w:t>
            </w:r>
          </w:p>
        </w:tc>
        <w:tc>
          <w:tcPr>
            <w:tcW w:w="35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10E0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Species (COMPADRE label)</w:t>
            </w:r>
          </w:p>
        </w:tc>
      </w:tr>
      <w:tr w:rsidR="00846DFC" w14:paraId="7448CB6E"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5F8E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B404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E2674"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62C9A"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B81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Dracocephalum_austriacum</w:t>
            </w:r>
          </w:p>
        </w:tc>
      </w:tr>
      <w:tr w:rsidR="00846DFC" w14:paraId="3633A42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1434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Dangremond; Knight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DFE0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78EE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2733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10.1890/09-0418.1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AAE0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Lupinus_tidestromii</w:t>
            </w:r>
          </w:p>
        </w:tc>
      </w:tr>
      <w:tr w:rsidR="00846DFC" w14:paraId="06F6D5E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42E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Davison; Jacquemyn; Adriaens; Honnay; de Kroon; Tuljapurkar</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B1B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7090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313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10.1111/j.1365-2745.2009.01611.x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9301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Anthyllis_vulneraria</w:t>
            </w:r>
          </w:p>
        </w:tc>
      </w:tr>
      <w:tr w:rsidR="00846DFC" w14:paraId="599B7E1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8F7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Fortini; Zarin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1AA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6E2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CA11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10.1016/j.foreco.2010.11.007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8C3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Callycophyllum_spruceanum; Carapa_guianensis; Licania_heteromorpha; Licaria_mahuba; Mora_paraensis; Platymiscium_filipes; Virola_surinamensis</w:t>
            </w:r>
          </w:p>
        </w:tc>
      </w:tr>
      <w:tr w:rsidR="00846DFC" w14:paraId="55EB452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BC2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Gaoue; Ticktin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348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E02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Conserv Biol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6327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10.1111/j.1523-1739.2009.01345.x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A506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Khaya_senegalensis</w:t>
            </w:r>
          </w:p>
        </w:tc>
      </w:tr>
      <w:tr w:rsidR="00846DFC" w14:paraId="65E5364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9AD4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Jacquemyns; Brys; Jongejans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A80F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938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044B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10.1890/08-2321.1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042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Orchis_purpurea</w:t>
            </w:r>
          </w:p>
        </w:tc>
      </w:tr>
      <w:tr w:rsidR="00846DFC" w14:paraId="01960FB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D66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Picard; Mortier; Chagneau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051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0A7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Model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35F4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10.1016/j.ecolmodel.2010.06.010</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A5ED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Dicorynia_guianensis</w:t>
            </w:r>
          </w:p>
        </w:tc>
      </w:tr>
      <w:tr w:rsidR="00846DFC" w14:paraId="1BA1D63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69C2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Sampaio; Scariot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68F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8B6C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Trop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80C3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10.1017/S0266467409990599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873D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Geonoma_schottiana</w:t>
            </w:r>
          </w:p>
        </w:tc>
      </w:tr>
      <w:tr w:rsidR="00846DFC" w14:paraId="0C3D638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4C87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Sletvold; Øien; Moen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A483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D2B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0E94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10.1016/j.biocon.2009.12.017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71F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Dactylorhiza_lapponica</w:t>
            </w:r>
          </w:p>
        </w:tc>
      </w:tr>
      <w:tr w:rsidR="00846DFC" w14:paraId="023EFA2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0DDC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Bullock; White; Prudhomme; Tansey; Perea; Hooftman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8248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E531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58EF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10.1111/j.1365-2745.2011.01910.x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60C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Cirsium_acaule_2</w:t>
            </w:r>
          </w:p>
        </w:tc>
      </w:tr>
      <w:tr w:rsidR="00846DFC" w14:paraId="4E2B58EF"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041F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Chen; Visser; Jongejans; van Breugel; Zuidema; Kassim; de Kroon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EA9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9544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309F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10.1111/j.1365-2745.2011.01825.x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1872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Shorea_leprosula</w:t>
            </w:r>
          </w:p>
        </w:tc>
      </w:tr>
      <w:tr w:rsidR="00846DFC" w14:paraId="55491ED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9A4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Csergő; Molnár;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E33E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A729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223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10.1007/s10144-010-0249-y</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C482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Saponaria_bellidifolia</w:t>
            </w:r>
          </w:p>
        </w:tc>
      </w:tr>
      <w:tr w:rsidR="00846DFC" w14:paraId="6399C063"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1F98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Dominguez Lozano; Moreno Saiz; Schwartz</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F53F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4F7F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Nat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3C7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10.1016/j.jnc.2011.05.005</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D6FE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Vella_pseudocytisus_subsp._paui_2</w:t>
            </w:r>
          </w:p>
        </w:tc>
      </w:tr>
      <w:tr w:rsidR="00846DFC" w14:paraId="6850101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671E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Navarro; Galeano; Bernal</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7FE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3008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Trop Conserv Sci</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204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10.1177/194008291100400104</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9063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Lepidocaryum_tenue</w:t>
            </w:r>
          </w:p>
        </w:tc>
      </w:tr>
      <w:tr w:rsidR="00846DFC" w14:paraId="79604B0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657B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Norghauer; Newbery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ED52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075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Monogr</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9999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10.1890/10-2268.1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56C8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Microberlinia_bisulcata; Tetraberlinia_bifoliolata</w:t>
            </w:r>
          </w:p>
        </w:tc>
      </w:tr>
      <w:tr w:rsidR="00846DFC" w14:paraId="67175A0F"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63C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Thorpe; Stanley; Kayne; Latham</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2408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4B4A"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F4455"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D1A5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Cypripedium_fasciculatum</w:t>
            </w:r>
          </w:p>
        </w:tc>
      </w:tr>
      <w:tr w:rsidR="00846DFC" w14:paraId="35E7BA2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6D9F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 Bizoux; Barbet-Massin; Gaudeul; Nicolè; Till-Bottraud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0E3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EDE8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C6BC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10.1016/j.biocon.2011.12.012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FF06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Eryngium_alpinum</w:t>
            </w:r>
          </w:p>
        </w:tc>
      </w:tr>
      <w:tr w:rsidR="00846DFC" w14:paraId="7D4F553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E20C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B156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0FE5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A14F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40F6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Liatris_scariosa</w:t>
            </w:r>
          </w:p>
        </w:tc>
      </w:tr>
      <w:tr w:rsidR="00846DFC" w14:paraId="0A08CDAF"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937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 Williams; Lesica; Bell; Bierzychudek; Bowles; Crone; Doak; Ehrlén; Ellis-Adam; McEachern; Ganesan; Latham; Luijten; Kaye; Knight; Menges; Morris; den Nijs; Oostermeijer; Quintana-Ascencio; Shelly; Stanley; Thorpe; Ticktin; Valverde; Weekley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7571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591F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341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4A9F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Cirsium_pitcheri_4; Phyllanthus_emblica_3</w:t>
            </w:r>
          </w:p>
        </w:tc>
      </w:tr>
      <w:tr w:rsidR="00846DFC" w14:paraId="1438378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7767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 Leopold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8561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DC2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BFE4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10.1016/j.biocon.2012.01.061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182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w:t>
            </w:r>
          </w:p>
        </w:tc>
      </w:tr>
      <w:tr w:rsidR="00846DFC" w14:paraId="0D140AB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7F15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Ticktin; Ganesan; Paramesha; Setty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7DA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805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9CD2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10.1111/j.1365-2664.2012.02156.x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FA18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Phyllanthus_emblica_2; Phyllanthus_indofischeri</w:t>
            </w:r>
          </w:p>
        </w:tc>
      </w:tr>
      <w:tr w:rsidR="00846DFC" w14:paraId="358CD0A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BC61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Gornish</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ABE8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7739"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3A88A" w14:textId="77777777" w:rsidR="00846DFC" w:rsidRDefault="00846DFC">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800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Pityopsis_aspera</w:t>
            </w:r>
          </w:p>
        </w:tc>
      </w:tr>
      <w:tr w:rsidR="00846DFC" w14:paraId="3F2E361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E51B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Matlaga; Davis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2B82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F404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BFA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10.1111/1365-2664.12057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5E0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Miscanthus_giganteus</w:t>
            </w:r>
          </w:p>
        </w:tc>
      </w:tr>
      <w:tr w:rsidR="00846DFC" w14:paraId="1471F3D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F53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Osunkoya; Perrett; Fernando; Clark; Raghu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04E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8A7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713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10.1007/s10144-013-0364-7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0F69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Lantana_camara</w:t>
            </w:r>
          </w:p>
        </w:tc>
      </w:tr>
      <w:tr w:rsidR="00846DFC" w14:paraId="2AB35953"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4AD9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Villellas; Ehrlén; Olesen; Braza;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53B7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755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Ecography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00D7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10.1111/j.1600-0587.2012.07425.x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0F13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Plantago_coronopus_2</w:t>
            </w:r>
          </w:p>
        </w:tc>
      </w:tr>
      <w:tr w:rsidR="00846DFC" w14:paraId="2C8DF4E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866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F725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3C2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8040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10.1007/s11258-014-0344-9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05D0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Trollius_laxus_2</w:t>
            </w:r>
          </w:p>
        </w:tc>
      </w:tr>
      <w:tr w:rsidR="00846DFC" w14:paraId="054B668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99C4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Baldauf; Correa; Ferreira; Santos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C755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EF4B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DA22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10.1016/j.foreco.2015.06.022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1D3E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Himatanthus_drasticus</w:t>
            </w:r>
          </w:p>
        </w:tc>
      </w:tr>
      <w:tr w:rsidR="00846DFC" w14:paraId="6397BD2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8E4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Gibert; Magda; Hazard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3307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87A3"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PLOS ONE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E6C94"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10.1371/journal.pone.0139919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846F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Festuca_eskia</w:t>
            </w:r>
          </w:p>
        </w:tc>
      </w:tr>
      <w:tr w:rsidR="00846DFC" w14:paraId="4CBBF3A9"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0ADA7"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Berry; Natalie L Cleavitt</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2BEC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2021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6CB8D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C224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10.1002/1438-390X.12092</w:t>
            </w:r>
          </w:p>
        </w:tc>
        <w:tc>
          <w:tcPr>
            <w:tcW w:w="35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C595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Platanthera_macrophylla_; Platanthera_orbiculata_</w:t>
            </w:r>
          </w:p>
        </w:tc>
      </w:tr>
    </w:tbl>
    <w:p w14:paraId="617F75CE" w14:textId="77777777" w:rsidR="00846DFC" w:rsidRDefault="00000000">
      <w:r>
        <w:br w:type="page"/>
      </w:r>
    </w:p>
    <w:p w14:paraId="71D750C0" w14:textId="77777777" w:rsidR="00846DFC" w:rsidRDefault="00000000">
      <w:pPr>
        <w:pStyle w:val="BodyText"/>
      </w:pPr>
      <w:r>
        <w:lastRenderedPageBreak/>
        <w:t xml:space="preserve">Table S7. Analysis 3 site coverage and spring-temperature effect summaries for </w:t>
      </w:r>
      <w:r>
        <w:rPr>
          <w:i/>
          <w:iCs/>
        </w:rPr>
        <w:t>Astragalus scaphoides</w:t>
      </w:r>
      <w:r>
        <w:t>. Point-estimate and sampling-uncertainty models give similar spring-temperature coefficients within each site, showing that between-site heterogeneity is larger than within-site method differences.</w:t>
      </w:r>
    </w:p>
    <w:tbl>
      <w:tblPr>
        <w:tblW w:w="0" w:type="auto"/>
        <w:jc w:val="center"/>
        <w:tblLayout w:type="fixed"/>
        <w:tblLook w:val="0420" w:firstRow="1" w:lastRow="0" w:firstColumn="0" w:lastColumn="0" w:noHBand="0" w:noVBand="1"/>
      </w:tblPr>
      <w:tblGrid>
        <w:gridCol w:w="1800"/>
        <w:gridCol w:w="864"/>
        <w:gridCol w:w="1080"/>
        <w:gridCol w:w="1008"/>
        <w:gridCol w:w="1296"/>
        <w:gridCol w:w="1368"/>
      </w:tblGrid>
      <w:tr w:rsidR="00846DFC" w14:paraId="7C612F47" w14:textId="77777777">
        <w:trPr>
          <w:tblHeader/>
          <w:jc w:val="center"/>
        </w:trPr>
        <w:tc>
          <w:tcPr>
            <w:tcW w:w="18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1CBA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Site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FF508"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(total)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8028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(modelled)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E4FD7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excluded</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C4F3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(point)</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8B9E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(sampling)</w:t>
            </w:r>
          </w:p>
        </w:tc>
      </w:tr>
      <w:tr w:rsidR="00846DFC" w14:paraId="1AD8E75E" w14:textId="77777777">
        <w:trPr>
          <w:jc w:val="center"/>
        </w:trPr>
        <w:tc>
          <w:tcPr>
            <w:tcW w:w="18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BEDD"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Haynes Creek</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9F8BA"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7EC9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CEBDF"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1A3A0"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-0.441</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F144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-0.424</w:t>
            </w:r>
          </w:p>
        </w:tc>
      </w:tr>
      <w:tr w:rsidR="00846DFC" w14:paraId="05666EFB" w14:textId="77777777">
        <w:trPr>
          <w:jc w:val="center"/>
        </w:trPr>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CE41"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Sheep Corral Gulch</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5439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DF51C"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0E81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E906"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0.244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4B3E"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0.258</w:t>
            </w:r>
          </w:p>
        </w:tc>
      </w:tr>
      <w:tr w:rsidR="00846DFC" w14:paraId="69FDBA1D" w14:textId="77777777">
        <w:trPr>
          <w:jc w:val="center"/>
        </w:trPr>
        <w:tc>
          <w:tcPr>
            <w:tcW w:w="18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BC446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McDevitt Creek</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956F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A963D9"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83ED2"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EC09B"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-0.238</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6FA445" w14:textId="77777777" w:rsidR="00846DFC"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-0.212</w:t>
            </w:r>
          </w:p>
        </w:tc>
      </w:tr>
    </w:tbl>
    <w:p w14:paraId="45D9DC93" w14:textId="77777777" w:rsidR="00846DFC" w:rsidRDefault="00000000">
      <w:r>
        <w:br w:type="page"/>
      </w:r>
    </w:p>
    <w:p w14:paraId="51EFDEC6" w14:textId="77777777" w:rsidR="00846DFC" w:rsidRDefault="00000000">
      <w:pPr>
        <w:pStyle w:val="BodyText"/>
      </w:pPr>
      <w:r>
        <w:lastRenderedPageBreak/>
        <w:t>Table S8. Analysis 3 posterior summary for the spring-temperature coefficient by site and model formulation. Across all sites, 95% intervals overlap zero under both formulations, showing similar uncertainty conclusions with and without explicit sampling-uncertainty propagation.</w:t>
      </w:r>
    </w:p>
    <w:tbl>
      <w:tblPr>
        <w:tblW w:w="0" w:type="auto"/>
        <w:jc w:val="center"/>
        <w:tblLayout w:type="fixed"/>
        <w:tblLook w:val="0420" w:firstRow="1" w:lastRow="0" w:firstColumn="0" w:lastColumn="0" w:noHBand="0" w:noVBand="1"/>
      </w:tblPr>
      <w:tblGrid>
        <w:gridCol w:w="2343"/>
        <w:gridCol w:w="3138"/>
        <w:gridCol w:w="1132"/>
        <w:gridCol w:w="1511"/>
        <w:gridCol w:w="1511"/>
      </w:tblGrid>
      <w:tr w:rsidR="00846DFC" w14:paraId="107A67A6"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4236E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3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242F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FFD5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68C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A116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846DFC" w14:paraId="0F59D693"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70CD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780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03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F5BA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AF15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0.899</w:t>
            </w:r>
          </w:p>
        </w:tc>
      </w:tr>
      <w:tr w:rsidR="00846DFC" w14:paraId="69A0B5E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986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5C95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823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1A5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F000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0.872</w:t>
            </w:r>
          </w:p>
        </w:tc>
      </w:tr>
      <w:tr w:rsidR="00846DFC" w14:paraId="6F3183E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F42F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82A9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5985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182F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1D4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r>
      <w:tr w:rsidR="00846DFC" w14:paraId="48E4D03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483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790F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01AC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45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687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1.160</w:t>
            </w:r>
          </w:p>
        </w:tc>
      </w:tr>
      <w:tr w:rsidR="00846DFC" w14:paraId="39D0B10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3F3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A298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6EB6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137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60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2.100</w:t>
            </w:r>
          </w:p>
        </w:tc>
      </w:tr>
      <w:tr w:rsidR="00846DFC" w14:paraId="1536274D"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24342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0C6F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E61B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7EE8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7196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bl>
    <w:p w14:paraId="598E6A8C" w14:textId="77777777" w:rsidR="00846DFC" w:rsidRDefault="00000000">
      <w:r>
        <w:br w:type="page"/>
      </w:r>
    </w:p>
    <w:p w14:paraId="479A51D4" w14:textId="77777777" w:rsidR="00846DFC" w:rsidRDefault="00000000">
      <w:pPr>
        <w:pStyle w:val="BodyText"/>
      </w:pPr>
      <w:r>
        <w:lastRenderedPageBreak/>
        <w:t xml:space="preserve">Table S9. Analysis 2 stage-specific survival-temperature coefficients under two point-estimate weighting scenarios. “No weights” treats annual stage-specific survival proportions equally, whereas “SSD weights” applies stable-stage-distribution weights from the annual </w:t>
      </w:r>
      <m:oMath>
        <m:r>
          <w:rPr>
            <w:rFonts w:ascii="Cambria Math" w:hAnsi="Cambria Math"/>
          </w:rPr>
          <m:t>U</m:t>
        </m:r>
      </m:oMath>
      <w:r>
        <w:t xml:space="preserve"> matrix.</w:t>
      </w:r>
    </w:p>
    <w:tbl>
      <w:tblPr>
        <w:tblW w:w="0" w:type="auto"/>
        <w:jc w:val="center"/>
        <w:tblLayout w:type="fixed"/>
        <w:tblLook w:val="0420" w:firstRow="1" w:lastRow="0" w:firstColumn="0" w:lastColumn="0" w:noHBand="0" w:noVBand="1"/>
      </w:tblPr>
      <w:tblGrid>
        <w:gridCol w:w="1169"/>
        <w:gridCol w:w="1670"/>
        <w:gridCol w:w="1524"/>
        <w:gridCol w:w="1132"/>
        <w:gridCol w:w="1511"/>
        <w:gridCol w:w="1511"/>
      </w:tblGrid>
      <w:tr w:rsidR="00846DFC" w14:paraId="4FE27F08" w14:textId="77777777">
        <w:trPr>
          <w:tblHeader/>
          <w:jc w:val="center"/>
        </w:trPr>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20B1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0E38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567E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06CD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CAFC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125C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846DFC" w14:paraId="507099FD" w14:textId="77777777">
        <w:trPr>
          <w:jc w:val="center"/>
        </w:trPr>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43F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A12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EBB5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F915"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44842"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4FD93"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7B2AE403"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0517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BB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1DC3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A93AF"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68A8"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BC4D5"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197100AC"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A2F9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82D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6102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A1E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A27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4A6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0.691</w:t>
            </w:r>
          </w:p>
        </w:tc>
      </w:tr>
      <w:tr w:rsidR="00846DFC" w14:paraId="6FA44D40"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3780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FE76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D2BD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A82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FAF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BA2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0.856</w:t>
            </w:r>
          </w:p>
        </w:tc>
      </w:tr>
      <w:tr w:rsidR="00846DFC" w14:paraId="2C14936F"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4889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8B16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2D6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C89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493A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16F3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0.791</w:t>
            </w:r>
          </w:p>
        </w:tc>
      </w:tr>
      <w:tr w:rsidR="00846DFC" w14:paraId="3AC3DAF4"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8C5D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BA67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F2F9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1FC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2B8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4EA7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0.708</w:t>
            </w:r>
          </w:p>
        </w:tc>
      </w:tr>
      <w:tr w:rsidR="00846DFC" w14:paraId="61DCD9E5"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3A8E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16E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EE24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C63AA"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8335E"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8959"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3D8CFAB1" w14:textId="77777777">
        <w:trPr>
          <w:jc w:val="center"/>
        </w:trPr>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019B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803A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227D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03A94"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40BD2"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1638C7"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bl>
    <w:p w14:paraId="647A2E51" w14:textId="77777777" w:rsidR="00846DFC" w:rsidRDefault="00000000">
      <w:r>
        <w:br w:type="page"/>
      </w:r>
    </w:p>
    <w:p w14:paraId="3E4FC759" w14:textId="77777777" w:rsidR="00846DFC" w:rsidRDefault="00000000">
      <w:pPr>
        <w:pStyle w:val="BodyText"/>
      </w:pPr>
      <w:r>
        <w:lastRenderedPageBreak/>
        <w:t>Table S10. Analysis 3 stage-specific survival-temperature coefficients under two point-estimate weighting scenarios across sites. The comparison shows how coefficient estimates and interval widths change when no stage sample-size information is used and SSD weights are substituted.</w:t>
      </w:r>
    </w:p>
    <w:tbl>
      <w:tblPr>
        <w:tblW w:w="0" w:type="auto"/>
        <w:jc w:val="center"/>
        <w:tblLayout w:type="fixed"/>
        <w:tblLook w:val="0420" w:firstRow="1" w:lastRow="0" w:firstColumn="0" w:lastColumn="0" w:noHBand="0" w:noVBand="1"/>
      </w:tblPr>
      <w:tblGrid>
        <w:gridCol w:w="2343"/>
        <w:gridCol w:w="1169"/>
        <w:gridCol w:w="1670"/>
        <w:gridCol w:w="1524"/>
        <w:gridCol w:w="1132"/>
        <w:gridCol w:w="1511"/>
        <w:gridCol w:w="1511"/>
      </w:tblGrid>
      <w:tr w:rsidR="00846DFC" w14:paraId="6D5353E0"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F66B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45B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8D24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77C1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0E5E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FF34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4E57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846DFC" w14:paraId="7889705C"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5B62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DBA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607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5D9E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4EFFE"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E041"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2F68E"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1A1132C5"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8844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6EE8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8C7D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7826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2C0EC"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00237"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C1B6"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4923BE0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5664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1091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738C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3B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7C48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F72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EA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0.761</w:t>
            </w:r>
          </w:p>
        </w:tc>
      </w:tr>
      <w:tr w:rsidR="00846DFC" w14:paraId="4674841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CEFA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2917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44EB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8D8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15AD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F26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1C6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0.542</w:t>
            </w:r>
          </w:p>
        </w:tc>
      </w:tr>
      <w:tr w:rsidR="00846DFC" w14:paraId="1DD04E4C"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C740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B65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1A7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058E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00D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0F68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580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r>
      <w:tr w:rsidR="00846DFC" w14:paraId="1CE9FA3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7F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2161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AD9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803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0188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60A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F068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0.833</w:t>
            </w:r>
          </w:p>
        </w:tc>
      </w:tr>
      <w:tr w:rsidR="00846DFC" w14:paraId="1460CCA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673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4B05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F355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DCB4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C54F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51A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6308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0.206</w:t>
            </w:r>
          </w:p>
        </w:tc>
      </w:tr>
      <w:tr w:rsidR="00846DFC" w14:paraId="6B12F8E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867E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FF9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A864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DAC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529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8B64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EE4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0.559</w:t>
            </w:r>
          </w:p>
        </w:tc>
      </w:tr>
      <w:tr w:rsidR="00846DFC" w14:paraId="3D42630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967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3656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7BF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E47C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C56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FDE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6706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0.759</w:t>
            </w:r>
          </w:p>
        </w:tc>
      </w:tr>
      <w:tr w:rsidR="00846DFC" w14:paraId="547845A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DCDF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A4E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83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94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0B9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E73E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F73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0.577</w:t>
            </w:r>
          </w:p>
        </w:tc>
      </w:tr>
      <w:tr w:rsidR="00846DFC" w14:paraId="6D3F5F62"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5079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D3C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2BB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EEF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0F5B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1BC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BAB8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0.725</w:t>
            </w:r>
          </w:p>
        </w:tc>
      </w:tr>
      <w:tr w:rsidR="00846DFC" w14:paraId="54EEAB1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B258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116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44FF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CB5B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C2A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BE32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5ECE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1.350</w:t>
            </w:r>
          </w:p>
        </w:tc>
      </w:tr>
      <w:tr w:rsidR="00846DFC" w14:paraId="70A9CCBD"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7D2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560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E16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BC8F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8D6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3D62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A50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0.642</w:t>
            </w:r>
          </w:p>
        </w:tc>
      </w:tr>
      <w:tr w:rsidR="00846DFC" w14:paraId="10918535"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06EA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1465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483B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E1D5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7360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031E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6A3A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1.090</w:t>
            </w:r>
          </w:p>
        </w:tc>
      </w:tr>
      <w:tr w:rsidR="00846DFC" w14:paraId="02946535"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EA9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68BE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0E9F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720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CCF6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CD61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D20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0.777</w:t>
            </w:r>
          </w:p>
        </w:tc>
      </w:tr>
      <w:tr w:rsidR="00846DFC" w14:paraId="1EEFD3E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B572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B562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DE9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D6C7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61A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B36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630E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0.678</w:t>
            </w:r>
          </w:p>
        </w:tc>
      </w:tr>
      <w:tr w:rsidR="00846DFC" w14:paraId="4D1CB27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2378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8859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8D19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D2D1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80E7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FEB2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C538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0.186</w:t>
            </w:r>
          </w:p>
        </w:tc>
      </w:tr>
      <w:tr w:rsidR="00846DFC" w14:paraId="145B878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74BF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9CFD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632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3357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0AD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6F19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EAC0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0.648</w:t>
            </w:r>
          </w:p>
        </w:tc>
      </w:tr>
      <w:tr w:rsidR="00846DFC" w14:paraId="542ADC2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A215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E4A1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D50B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2A3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3773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6C4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641E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0.937</w:t>
            </w:r>
          </w:p>
        </w:tc>
      </w:tr>
      <w:tr w:rsidR="00846DFC" w14:paraId="121EC91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DE9C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C7B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AA4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F237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523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CFA9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5C26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0.657</w:t>
            </w:r>
          </w:p>
        </w:tc>
      </w:tr>
      <w:tr w:rsidR="00846DFC" w14:paraId="2B536BE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49C7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374C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386D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9388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8881"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7608"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0173"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00805FF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E34B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8F6C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FB67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BC7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93B3"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40BC6"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48B49" w14:textId="77777777" w:rsidR="00846DFC" w:rsidRDefault="00846DF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846DFC" w14:paraId="129604C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390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FD1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331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A147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A63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8FF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B2C0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0.255</w:t>
            </w:r>
          </w:p>
        </w:tc>
      </w:tr>
      <w:tr w:rsidR="00846DFC" w14:paraId="2D491C7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3260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5E6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6897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60E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A831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41A7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9276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-0.089</w:t>
            </w:r>
          </w:p>
        </w:tc>
      </w:tr>
      <w:tr w:rsidR="00846DFC" w14:paraId="4646D71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4F13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6C6D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6E33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8CA1F"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EBFD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22D8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9D4D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0.092</w:t>
            </w:r>
          </w:p>
        </w:tc>
      </w:tr>
      <w:tr w:rsidR="00846DFC" w14:paraId="31F0A13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6031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679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DF3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FC0A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FB78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10B4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EDC6"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0.398</w:t>
            </w:r>
          </w:p>
        </w:tc>
      </w:tr>
      <w:tr w:rsidR="00846DFC" w14:paraId="0DCB75A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698F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4CF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F942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F3B5"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C3D4D"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85E9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490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w:t>
            </w:r>
          </w:p>
        </w:tc>
      </w:tr>
      <w:tr w:rsidR="00846DFC" w14:paraId="7A5CF75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D2E8E"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FE1D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D04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EA94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024E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4F9FB"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-1.050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6C4E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2.090</w:t>
            </w:r>
          </w:p>
        </w:tc>
      </w:tr>
      <w:tr w:rsidR="00846DFC" w14:paraId="48EAF39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60A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FDF2"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22DA"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DB4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F746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1A168"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F4A4"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r>
      <w:tr w:rsidR="00846DFC" w14:paraId="0BBF0017"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FFB03"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9D9867"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C7A11"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139F1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A0E30"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F3E6C"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-2.070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AA029" w14:textId="77777777" w:rsidR="00846DF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bl>
    <w:p w14:paraId="397338DD" w14:textId="77777777" w:rsidR="00846DFC" w:rsidRDefault="00000000">
      <w:r>
        <w:br w:type="page"/>
      </w:r>
    </w:p>
    <w:p w14:paraId="14594D34" w14:textId="77777777" w:rsidR="00846DFC" w:rsidRDefault="00000000">
      <w:pPr>
        <w:pStyle w:val="Heading1"/>
      </w:pPr>
      <w:bookmarkStart w:id="26" w:name="supplementary-figures"/>
      <w:bookmarkStart w:id="27" w:name="_Toc226648415"/>
      <w:bookmarkEnd w:id="24"/>
      <w:r>
        <w:lastRenderedPageBreak/>
        <w:t>Supplementary Figures</w:t>
      </w:r>
      <w:bookmarkEnd w:id="27"/>
    </w:p>
    <w:p w14:paraId="40F39257" w14:textId="77777777" w:rsidR="00846DFC" w:rsidRDefault="00000000">
      <w:pPr>
        <w:pStyle w:val="CaptionedFigure"/>
      </w:pPr>
      <w:r>
        <w:rPr>
          <w:noProof/>
        </w:rPr>
        <w:drawing>
          <wp:inline distT="0" distB="0" distL="0" distR="0" wp14:anchorId="559A4807" wp14:editId="1ACA2670">
            <wp:extent cx="5727700" cy="3665728"/>
            <wp:effectExtent l="0" t="0" r="0" b="0"/>
            <wp:docPr id="34" name="Picture" descr="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
            <wp:cNvGraphicFramePr/>
            <a:graphic xmlns:a="http://schemas.openxmlformats.org/drawingml/2006/main">
              <a:graphicData uri="http://schemas.openxmlformats.org/drawingml/2006/picture">
                <pic:pic xmlns:pic="http://schemas.openxmlformats.org/drawingml/2006/picture">
                  <pic:nvPicPr>
                    <pic:cNvPr id="35" name="Picture" descr="../../figures/Figure_S1_boundary_estimate_diagnostic.png"/>
                    <pic:cNvPicPr>
                      <a:picLocks noChangeAspect="1" noChangeArrowheads="1"/>
                    </pic:cNvPicPr>
                  </pic:nvPicPr>
                  <pic:blipFill>
                    <a:blip r:embed="rId7"/>
                    <a:stretch>
                      <a:fillRect/>
                    </a:stretch>
                  </pic:blipFill>
                  <pic:spPr bwMode="auto">
                    <a:xfrm>
                      <a:off x="0" y="0"/>
                      <a:ext cx="5727700" cy="3665728"/>
                    </a:xfrm>
                    <a:prstGeom prst="rect">
                      <a:avLst/>
                    </a:prstGeom>
                    <a:noFill/>
                    <a:ln w="9525">
                      <a:noFill/>
                      <a:headEnd/>
                      <a:tailEnd/>
                    </a:ln>
                  </pic:spPr>
                </pic:pic>
              </a:graphicData>
            </a:graphic>
          </wp:inline>
        </w:drawing>
      </w:r>
    </w:p>
    <w:p w14:paraId="5B41F443" w14:textId="77777777" w:rsidR="00846DFC" w:rsidRDefault="00000000">
      <w:pPr>
        <w:pStyle w:val="ImageCaption"/>
      </w:pPr>
      <w:bookmarkStart w:id="28" w:name="fig:fig-boundary-1"/>
      <w:bookmarkEnd w:id="28"/>
      <w:r>
        <w:t>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14:paraId="0C449452" w14:textId="77777777" w:rsidR="00846DFC" w:rsidRDefault="00000000">
      <w:r>
        <w:br w:type="page"/>
      </w:r>
    </w:p>
    <w:p w14:paraId="3DFAC96F" w14:textId="77777777" w:rsidR="00846DFC" w:rsidRDefault="00000000">
      <w:pPr>
        <w:pStyle w:val="CaptionedFigure"/>
      </w:pPr>
      <w:r>
        <w:rPr>
          <w:noProof/>
        </w:rPr>
        <w:lastRenderedPageBreak/>
        <w:drawing>
          <wp:inline distT="0" distB="0" distL="0" distR="0" wp14:anchorId="58314DC2" wp14:editId="7680F8B8">
            <wp:extent cx="5727700" cy="5498592"/>
            <wp:effectExtent l="0" t="0" r="0" b="0"/>
            <wp:docPr id="38" name="Picture" descr="Figure 2: Illustration of survivorship trajectories under boundary survival transitions. Age/time is shown in years. These cases can induce artefactual trajectory shapes and help explain mismatches between point estimates and uncertainty-aware summaries."/>
            <wp:cNvGraphicFramePr/>
            <a:graphic xmlns:a="http://schemas.openxmlformats.org/drawingml/2006/main">
              <a:graphicData uri="http://schemas.openxmlformats.org/drawingml/2006/picture">
                <pic:pic xmlns:pic="http://schemas.openxmlformats.org/drawingml/2006/picture">
                  <pic:nvPicPr>
                    <pic:cNvPr id="39" name="Picture" descr="../../figures/Figure_S2_boundary_survivorship_illustration.png"/>
                    <pic:cNvPicPr>
                      <a:picLocks noChangeAspect="1" noChangeArrowheads="1"/>
                    </pic:cNvPicPr>
                  </pic:nvPicPr>
                  <pic:blipFill>
                    <a:blip r:embed="rId8"/>
                    <a:stretch>
                      <a:fillRect/>
                    </a:stretch>
                  </pic:blipFill>
                  <pic:spPr bwMode="auto">
                    <a:xfrm>
                      <a:off x="0" y="0"/>
                      <a:ext cx="5727700" cy="5498592"/>
                    </a:xfrm>
                    <a:prstGeom prst="rect">
                      <a:avLst/>
                    </a:prstGeom>
                    <a:noFill/>
                    <a:ln w="9525">
                      <a:noFill/>
                      <a:headEnd/>
                      <a:tailEnd/>
                    </a:ln>
                  </pic:spPr>
                </pic:pic>
              </a:graphicData>
            </a:graphic>
          </wp:inline>
        </w:drawing>
      </w:r>
    </w:p>
    <w:p w14:paraId="590E7147" w14:textId="77777777" w:rsidR="00846DFC" w:rsidRDefault="00000000">
      <w:pPr>
        <w:pStyle w:val="ImageCaption"/>
      </w:pPr>
      <w:bookmarkStart w:id="29" w:name="fig:fig-boundary-2"/>
      <w:bookmarkEnd w:id="29"/>
      <w:r>
        <w:t>Figure 2: Illustration of survivorship trajectories under boundary survival transitions. Age/time is shown in years. These cases can induce artefactual trajectory shapes and help explain mismatches between point estimates and uncertainty-aware summaries.</w:t>
      </w:r>
    </w:p>
    <w:p w14:paraId="1A1C9559" w14:textId="77777777" w:rsidR="00846DFC" w:rsidRDefault="00000000">
      <w:r>
        <w:br w:type="page"/>
      </w:r>
      <w:bookmarkEnd w:id="26"/>
    </w:p>
    <w:sectPr w:rsidR="00846DFC" w:rsidSect="001B4436">
      <w:footerReference w:type="even" r:id="rId9"/>
      <w:footerReference w:type="default" r:id="rId10"/>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142C1" w14:textId="77777777" w:rsidR="00E35CA3" w:rsidRDefault="00E35CA3">
      <w:pPr>
        <w:spacing w:after="0" w:line="240" w:lineRule="auto"/>
      </w:pPr>
      <w:r>
        <w:separator/>
      </w:r>
    </w:p>
  </w:endnote>
  <w:endnote w:type="continuationSeparator" w:id="0">
    <w:p w14:paraId="3BD7BDF5" w14:textId="77777777" w:rsidR="00E35CA3" w:rsidRDefault="00E35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69FB715A"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065C7">
          <w:rPr>
            <w:rStyle w:val="PageNumber"/>
            <w:noProof/>
          </w:rPr>
          <w:t>2</w:t>
        </w:r>
        <w:r>
          <w:rPr>
            <w:rStyle w:val="PageNumber"/>
          </w:rPr>
          <w:fldChar w:fldCharType="end"/>
        </w:r>
      </w:p>
    </w:sdtContent>
  </w:sdt>
  <w:p w14:paraId="6E387CDC"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0AC5A77D"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B719CF"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C7F67" w14:textId="77777777" w:rsidR="00E35CA3" w:rsidRDefault="00E35CA3">
      <w:pPr>
        <w:spacing w:after="0" w:line="240" w:lineRule="auto"/>
      </w:pPr>
      <w:r>
        <w:separator/>
      </w:r>
    </w:p>
  </w:footnote>
  <w:footnote w:type="continuationSeparator" w:id="0">
    <w:p w14:paraId="34A6742E" w14:textId="77777777" w:rsidR="00E35CA3" w:rsidRDefault="00E35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E495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0478427">
    <w:abstractNumId w:val="0"/>
  </w:num>
  <w:num w:numId="2" w16cid:durableId="896281219">
    <w:abstractNumId w:val="0"/>
  </w:num>
  <w:num w:numId="3" w16cid:durableId="1919442476">
    <w:abstractNumId w:val="1"/>
  </w:num>
  <w:num w:numId="4" w16cid:durableId="281231278">
    <w:abstractNumId w:val="1"/>
  </w:num>
  <w:num w:numId="5" w16cid:durableId="964501840">
    <w:abstractNumId w:val="1"/>
  </w:num>
  <w:num w:numId="6" w16cid:durableId="1155299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477782"/>
    <w:rsid w:val="00846DFC"/>
    <w:rsid w:val="00862BD4"/>
    <w:rsid w:val="008D3315"/>
    <w:rsid w:val="00B065C7"/>
    <w:rsid w:val="00BC4829"/>
    <w:rsid w:val="00D521CD"/>
    <w:rsid w:val="00E35CA3"/>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9EEA8"/>
  <w15:docId w15:val="{0CF7783C-624C-0D4D-A75E-C4BAEA33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 w:type="paragraph" w:styleId="TOC1">
    <w:name w:val="toc 1"/>
    <w:basedOn w:val="Normal"/>
    <w:next w:val="Normal"/>
    <w:autoRedefine/>
    <w:uiPriority w:val="39"/>
    <w:rsid w:val="00B065C7"/>
    <w:pPr>
      <w:spacing w:after="100"/>
    </w:pPr>
  </w:style>
  <w:style w:type="paragraph" w:styleId="TOC2">
    <w:name w:val="toc 2"/>
    <w:basedOn w:val="Normal"/>
    <w:next w:val="Normal"/>
    <w:autoRedefine/>
    <w:uiPriority w:val="39"/>
    <w:rsid w:val="00B065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3333</Words>
  <Characters>19003</Characters>
  <Application>Microsoft Office Word</Application>
  <DocSecurity>0</DocSecurity>
  <Lines>158</Lines>
  <Paragraphs>44</Paragraphs>
  <ScaleCrop>false</ScaleCrop>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cp:lastModifiedBy>Owen R. Jones</cp:lastModifiedBy>
  <cp:revision>2</cp:revision>
  <dcterms:created xsi:type="dcterms:W3CDTF">2026-04-09T11:42:00Z</dcterms:created>
  <dcterms:modified xsi:type="dcterms:W3CDTF">2026-04-09T15:33:00Z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