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now address this concern directly, and more cleanly, through the new simulation study (Analysis 3). That analysis fits all three formulations to data with known truth: contrasting the Gaussian and Poisson point-estimate models isolates the effect of the structural change, while contrasting the Poisson point-estimate and Poisson uncertainty-aware models isolates the effect of uncertainty propagation.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now present the thresholds as provisional screening heuristics informed by our restricted dataset, not validated decision rules. We also limit claims of lower sensitivity for integrated metrics to the dataset analysed and explicitly state that the proposed favourable conditions do not guarantee robustness.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This check concerns shape estimates only; downstream regressions were not refitted, and we now state this limitation explicitly. We report the check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describes direct conjugate posterior sampling, including the priors, draw counts and treatment of zero entries and unavailable sample sizes,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Where retained, their unsupported columns were held fixed rather than assigned reconstructed sampling uncertainty.”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posterior sampling, death probability is drawn jointly with the living-transition probabilities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We also clarify that weighting and dispersion assumptions differ, so interval-width differences cannot be attributed solely to sampling uncertainty. Non-estimable stages are labelled rather than plotted as survival probabilities on the coefficient axis.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clarified in the Supplementary Results that information sharing in fitted vital-rate models may reduce boundary estimates, whereas finer discretisation alone need not do so.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