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S1-2. Point estimates and draws from the sampling distribution for derived parameters from a single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1084"/>
        <w:gridCol w:w="1084"/>
        <w:gridCol w:w="180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1.310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Repro. value (Veg.)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Elasticity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Generation time (T)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31.500</w:t>
            </w:r>
          </w:p>
        </w:tc>
      </w:tr>
      <w:tr>
        <w:trPr>
          <w:trHeight w:val="618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7.840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2026-02-01T12:56:55Z</dcterms:modified>
  <cp:category/>
</cp:coreProperties>
</file>