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131.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(325 MPMs from 33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COMPADRE version 6.26.3.0 (created Mar_11_2026)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these, we obtained the data required to model sampling uncertainty for 28: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28 studies yielded 298 MPMs for 73 populations of 27 species. We supplemented this set with 5 additional studies published before 2010 for which we had previously obtained data (targeted based on a criterion of at least 4 years of temporal replication), giving a final set of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(4.5.2)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as case studies,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0" w:name="data-availability"/>
    <w:p>
      <w:pPr>
        <w:pStyle w:val="Heading1"/>
      </w:pPr>
      <w:r>
        <w:t xml:space="preserve">Data availability</w:t>
      </w:r>
    </w:p>
    <w:p>
      <w:pPr>
        <w:pStyle w:val="FirstParagraph"/>
      </w:pPr>
      <w:r>
        <w:t xml:space="preserve">Data and code required to reproduce our analyses are archived on Zenodo [DOI to be inserted].</w:t>
      </w:r>
    </w:p>
    <w:bookmarkEnd w:id="50"/>
    <w:bookmarkStart w:id="51"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1"/>
    <w:bookmarkStart w:id="90"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2">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3">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4">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5">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6">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7">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8">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9">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0">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1">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2">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3">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4">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5">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6">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7">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8">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9">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0">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1">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2">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3">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4">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5">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6">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7">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8">
        <w:r>
          <w:rPr>
            <w:rStyle w:val="Hyperlink"/>
          </w:rPr>
          <w:t xml:space="preserve">https://doi.org/10.1890/15-0846R.1</w:t>
        </w:r>
      </w:hyperlink>
    </w:p>
    <w:p>
      <w:pPr>
        <w:pStyle w:val="BodyText"/>
      </w:pPr>
      <w:r>
        <w:t xml:space="preserve">PRISM Group, Oregon State University (2026) PRISM Climate Data.</w:t>
      </w:r>
      <w:r>
        <w:t xml:space="preserve"> </w:t>
      </w:r>
      <w:hyperlink r:id="rId79">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0">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1">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2">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3">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4">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5">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6">
        <w:r>
          <w:rPr>
            <w:rStyle w:val="Hyperlink"/>
          </w:rPr>
          <w:t xml:space="preserve">https://mc-stan.org/</w:t>
        </w:r>
      </w:hyperlink>
      <w:r>
        <w:t xml:space="preserve"> </w:t>
      </w:r>
      <w:hyperlink r:id="rId87">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8">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9">
        <w:r>
          <w:rPr>
            <w:rStyle w:val="Hyperlink"/>
          </w:rPr>
          <w:t xml:space="preserve">https://doi.org/10.1371/journal.pone.0119163</w:t>
        </w:r>
      </w:hyperlink>
    </w:p>
    <w:p>
      <w:r>
        <w:br w:type="page"/>
      </w:r>
    </w:p>
    <w:bookmarkEnd w:id="90"/>
    <w:bookmarkStart w:id="92" w:name="tables"/>
    <w:p>
      <w:pPr>
        <w:pStyle w:val="Heading1"/>
      </w:pPr>
      <w:r>
        <w:t xml:space="preserve">Tables</w:t>
      </w:r>
    </w:p>
    <w:p>
      <w:pPr>
        <w:pStyle w:val="TableCaption"/>
      </w:pPr>
      <w:bookmarkStart w:id="91" w:name="tab:table-case1-var"/>
      <w:bookmarkEnd w:id="91"/>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bl>
    <w:p>
      <w:r>
        <w:br w:type="page"/>
      </w:r>
    </w:p>
    <w:bookmarkEnd w:id="92"/>
    <w:bookmarkStart w:id="117"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4" name="Picture"/>
            <a:graphic>
              <a:graphicData uri="http://schemas.openxmlformats.org/drawingml/2006/picture">
                <pic:pic>
                  <pic:nvPicPr>
                    <pic:cNvPr descr="../../figures/Figure_1_transition_rates_single_mpm.png" id="95" name="Picture"/>
                    <pic:cNvPicPr>
                      <a:picLocks noChangeArrowheads="1" noChangeAspect="1"/>
                    </pic:cNvPicPr>
                  </pic:nvPicPr>
                  <pic:blipFill>
                    <a:blip r:embed="rId93"/>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6" w:name="fig:fig-main-1a"/>
      <w:bookmarkEnd w:id="96"/>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8" name="Picture"/>
            <a:graphic>
              <a:graphicData uri="http://schemas.openxmlformats.org/drawingml/2006/picture">
                <pic:pic>
                  <pic:nvPicPr>
                    <pic:cNvPr descr="../../figures/Figure_2_derived_parameters_single_mpm.png" id="99" name="Picture"/>
                    <pic:cNvPicPr>
                      <a:picLocks noChangeArrowheads="1" noChangeAspect="1"/>
                    </pic:cNvPicPr>
                  </pic:nvPicPr>
                  <pic:blipFill>
                    <a:blip r:embed="rId97"/>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0" w:name="fig:fig-main-1b"/>
      <w:bookmarkEnd w:id="100"/>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2" name="Picture"/>
            <a:graphic>
              <a:graphicData uri="http://schemas.openxmlformats.org/drawingml/2006/picture">
                <pic:pic>
                  <pic:nvPicPr>
                    <pic:cNvPr descr="../../figures/Figure_3_analysis1_point_vs_sampling_distributions.png" id="103" name="Picture"/>
                    <pic:cNvPicPr>
                      <a:picLocks noChangeArrowheads="1" noChangeAspect="1"/>
                    </pic:cNvPicPr>
                  </pic:nvPicPr>
                  <pic:blipFill>
                    <a:blip r:embed="rId101"/>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4" w:name="fig:fig-main-2"/>
      <w:bookmarkEnd w:id="104"/>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6" name="Picture"/>
            <a:graphic>
              <a:graphicData uri="http://schemas.openxmlformats.org/drawingml/2006/picture">
                <pic:pic>
                  <pic:nvPicPr>
                    <pic:cNvPr descr="../../figures/Figure_4_analysis1_life_expectancy_shape_relationship.png" id="107" name="Picture"/>
                    <pic:cNvPicPr>
                      <a:picLocks noChangeArrowheads="1" noChangeAspect="1"/>
                    </pic:cNvPicPr>
                  </pic:nvPicPr>
                  <pic:blipFill>
                    <a:blip r:embed="rId105"/>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8" w:name="fig:fig-main-3"/>
      <w:bookmarkEnd w:id="108"/>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0" name="Picture"/>
            <a:graphic>
              <a:graphicData uri="http://schemas.openxmlformats.org/drawingml/2006/picture">
                <pic:pic>
                  <pic:nvPicPr>
                    <pic:cNvPr descr="../../figures/Figure_5_analysis2_climate_effects_recruitment.png" id="111" name="Picture"/>
                    <pic:cNvPicPr>
                      <a:picLocks noChangeArrowheads="1" noChangeAspect="1"/>
                    </pic:cNvPicPr>
                  </pic:nvPicPr>
                  <pic:blipFill>
                    <a:blip r:embed="rId109"/>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2" w:name="fig:fig-main-4"/>
      <w:bookmarkEnd w:id="112"/>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4" name="Picture"/>
            <a:graphic>
              <a:graphicData uri="http://schemas.openxmlformats.org/drawingml/2006/picture">
                <pic:pic>
                  <pic:nvPicPr>
                    <pic:cNvPr descr="../../figures/Figure_6_analysis3_climate_effects_multisite.png" id="115" name="Picture"/>
                    <pic:cNvPicPr>
                      <a:picLocks noChangeArrowheads="1" noChangeAspect="1"/>
                    </pic:cNvPicPr>
                  </pic:nvPicPr>
                  <pic:blipFill>
                    <a:blip r:embed="rId113"/>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6" w:name="fig:fig-main-5"/>
      <w:bookmarkEnd w:id="116"/>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p>
      <w:r>
        <w:br w:type="page"/>
      </w:r>
    </w:p>
    <w:bookmarkEnd w:id="117"/>
    <w:bookmarkStart w:id="127" w:name="supplementary-methods"/>
    <w:p>
      <w:pPr>
        <w:pStyle w:val="Heading1"/>
      </w:pPr>
      <w:r>
        <w:t xml:space="preserve">Supplementary Methods</w:t>
      </w:r>
    </w:p>
    <w:bookmarkStart w:id="118"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18"/>
    <w:bookmarkStart w:id="119"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9"/>
    <w:bookmarkStart w:id="120"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20"/>
    <w:bookmarkStart w:id="121"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3"/>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121"/>
    <w:bookmarkStart w:id="122"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5"/>
        </w:numPr>
      </w:pPr>
      <w:r>
        <w:t xml:space="preserve">sampling component: mean within-MPM sampling variance from bootstrap draws;</w:t>
      </w:r>
    </w:p>
    <w:p>
      <w:pPr>
        <w:pStyle w:val="Compact"/>
        <w:numPr>
          <w:ilvl w:val="0"/>
          <w:numId w:val="1005"/>
        </w:numPr>
      </w:pPr>
      <w:r>
        <w:t xml:space="preserve">residual component: remaining variance among populations/species.</w:t>
      </w:r>
    </w:p>
    <w:p>
      <w:pPr>
        <w:pStyle w:val="FirstParagraph"/>
      </w:pPr>
      <w:r>
        <w:t xml:space="preserve">The reported summary is Eq. (15):</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15</m:t>
              </m:r>
            </m:e>
          </m:d>
        </m:oMath>
      </m:oMathPara>
    </w:p>
    <w:p>
      <w:pPr>
        <w:pStyle w:val="FirstParagraph"/>
      </w:pPr>
      <w:r>
        <w:t xml:space="preserve">Ratios above 1 indicate that sampling uncertainty exceeds residual biological variation for that parameter.</w:t>
      </w:r>
    </w:p>
    <w:bookmarkEnd w:id="122"/>
    <w:bookmarkStart w:id="123"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123"/>
    <w:bookmarkStart w:id="124"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4"/>
    <w:bookmarkStart w:id="125" w:name="X673af67ed43224aff21550b61d48c598bc599d3"/>
    <w:p>
      <w:pPr>
        <w:pStyle w:val="Heading2"/>
      </w:pPr>
      <w:r>
        <w:t xml:space="preserve">S1.8 Study and species identities in analysis 1</w:t>
      </w:r>
    </w:p>
    <w:p>
      <w:pPr>
        <w:pStyle w:val="FirstParagraph"/>
      </w:pPr>
      <w:r>
        <w:t xml:space="preserve">Analysis 1 used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125"/>
    <w:bookmarkStart w:id="126"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126"/>
    <w:bookmarkEnd w:id="127"/>
    <w:bookmarkStart w:id="129" w:name="supplementary-results"/>
    <w:p>
      <w:pPr>
        <w:pStyle w:val="Heading1"/>
      </w:pPr>
      <w:r>
        <w:t xml:space="preserve">Supplementary Results</w:t>
      </w:r>
    </w:p>
    <w:bookmarkStart w:id="128"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28"/>
    <w:bookmarkEnd w:id="129"/>
    <w:bookmarkStart w:id="130"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130"/>
    <w:bookmarkStart w:id="139" w:name="supplementary-figures"/>
    <w:p>
      <w:pPr>
        <w:pStyle w:val="Heading1"/>
      </w:pPr>
      <w:r>
        <w:t xml:space="preserve">Supplementary Figures</w:t>
      </w:r>
    </w:p>
    <w:p>
      <w:pPr>
        <w:pStyle w:val="CaptionedFigure"/>
      </w:pPr>
      <w:r>
        <w:drawing>
          <wp:inline>
            <wp:extent cx="5727700" cy="3665728"/>
            <wp:effectExtent b="0" l="0" r="0" t="0"/>
            <wp:docPr descr="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132" name="Picture"/>
            <a:graphic>
              <a:graphicData uri="http://schemas.openxmlformats.org/drawingml/2006/picture">
                <pic:pic>
                  <pic:nvPicPr>
                    <pic:cNvPr descr="../../figures/Figure_S1_boundary_estimate_diagnostic.png" id="133" name="Picture"/>
                    <pic:cNvPicPr>
                      <a:picLocks noChangeArrowheads="1" noChangeAspect="1"/>
                    </pic:cNvPicPr>
                  </pic:nvPicPr>
                  <pic:blipFill>
                    <a:blip r:embed="rId131"/>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134" w:name="fig:supp-fig-boundary-1"/>
      <w:bookmarkEnd w:id="134"/>
      <w:r>
        <w:t xml:space="preserve">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8: Illustration of survivorship trajectories under boundary survival transitions. Age/time is shown in years. These cases can induce artefactual trajectory shapes and help explain mismatches between point estimates and uncertainty-aware summaries." title="" id="136" name="Picture"/>
            <a:graphic>
              <a:graphicData uri="http://schemas.openxmlformats.org/drawingml/2006/picture">
                <pic:pic>
                  <pic:nvPicPr>
                    <pic:cNvPr descr="../../figures/Figure_S2_boundary_survivorship_illustration.png" id="137" name="Picture"/>
                    <pic:cNvPicPr>
                      <a:picLocks noChangeArrowheads="1" noChangeAspect="1"/>
                    </pic:cNvPicPr>
                  </pic:nvPicPr>
                  <pic:blipFill>
                    <a:blip r:embed="rId135"/>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138" w:name="fig:supp-fig-boundary-2"/>
      <w:bookmarkEnd w:id="138"/>
      <w:r>
        <w:t xml:space="preserve">Figure 8: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139"/>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2026-03-12T06:42:19Z</dcterms:created>
  <dcterms:modified xsi:type="dcterms:W3CDTF">2026-03-12T06:42:19Z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