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S1-3. Point estimates and draws from the sampling distribution for derived parameters from a mean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912"/>
        <w:gridCol w:w="1034"/>
        <w:gridCol w:w="180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1.930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62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2026-03-11T17:01:27Z</dcterms:modified>
  <cp:category/>
</cp:coreProperties>
</file>