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20"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20"/>
    <w:bookmarkStart w:id="21"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21"/>
    <w:bookmarkStart w:id="23" w:name="corresponding-author"/>
    <w:p>
      <w:pPr>
        <w:pStyle w:val="Heading1"/>
      </w:pPr>
      <w:r>
        <w:t xml:space="preserve">Corresponding author</w:t>
      </w:r>
    </w:p>
    <w:p>
      <w:pPr>
        <w:pStyle w:val="FirstParagraph"/>
      </w:pPr>
      <w:r>
        <w:t xml:space="preserve">* Owen R. Jones,</w:t>
      </w:r>
      <w:r>
        <w:t xml:space="preserve"> </w:t>
      </w:r>
      <w:hyperlink r:id="rId22">
        <w:r>
          <w:rPr>
            <w:rStyle w:val="Hyperlink"/>
          </w:rPr>
          <w:t xml:space="preserve">jones@biology.sdu.dk</w:t>
        </w:r>
      </w:hyperlink>
    </w:p>
    <w:p>
      <w:r>
        <w:br w:type="page"/>
      </w:r>
    </w:p>
    <w:bookmarkEnd w:id="23"/>
    <w:bookmarkStart w:id="24"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two parallel analyses, one comparative and the other a within-species time series, that either incorporated or ignored sampling uncertainty.</w:t>
      </w:r>
    </w:p>
    <w:p>
      <w:pPr>
        <w:numPr>
          <w:ilvl w:val="0"/>
          <w:numId w:val="1001"/>
        </w:numPr>
      </w:pPr>
      <w:r>
        <w:t xml:space="preserve">The effects of sampling uncertainty were strongly trait-dependent. It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recruitment was largely unaffected.</w:t>
      </w:r>
    </w:p>
    <w:p>
      <w:pPr>
        <w:numPr>
          <w:ilvl w:val="0"/>
          <w:numId w:val="1001"/>
        </w:numPr>
      </w:pPr>
      <w:r>
        <w:t xml:space="preserve">These two analyses show that ignoring sampling uncertainty does not universally compromise inference from published projection matrices, but can yield fragile or biased conclusions for certain demographic traits. We identify structural features of MPMs and analyses that may indicate heightened sensitivity to sampling uncertainty, and discuss implications for researchers using compiled demographic databases.</w:t>
      </w:r>
    </w:p>
    <w:p>
      <w:r>
        <w:br w:type="page"/>
      </w:r>
    </w:p>
    <w:bookmarkEnd w:id="24"/>
    <w:bookmarkStart w:id="25" w:name="introduction"/>
    <w:p>
      <w:pPr>
        <w:pStyle w:val="Heading1"/>
      </w:pPr>
      <w:r>
        <w:t xml:space="preserve">Introduction</w:t>
      </w:r>
    </w:p>
    <w:p>
      <w:pPr>
        <w:pStyle w:val="FirstParagraph"/>
      </w:pPr>
      <w:r>
        <w:t xml:space="preserve">The collation of published demographic data in databases such as PanTHERIA (Jones et al. 2009), AnAge (de Magalhães and Costa 2009), Myhrvold et al.’s (2015) amniote life 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ranging from highly integrated metrics such as population growth rate to traits that depend on long-term survivorship or tail behaviour, such as life expectancy or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Here, we instead focus on the practical consequences of accounting for sampling uncertainty in real analyses, asking when and for which demographic traits this uncertainty materially affects inference from published projection matrices.</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&amp;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incorporating these parameter estimates, or further derivations, into a statistical model.</w:t>
      </w:r>
    </w:p>
    <w:p>
      <w:pPr>
        <w:pStyle w:val="BodyText"/>
      </w:pPr>
      <w:r>
        <w:t xml:space="preserve">Our aim is to examine how sampling uncertainty in published projection matrices propagates to specific MPM-derived quantities and to explore when point estimates are robust or fragile. The focal quantities are mature life expectancy, the shape of the mortality trajectory, the log population growth rate, and recruitment-climate regression coefficients. Because COMPADRE does not routinely include the transition-level sample-size information needed for uncertainty reconstruction, our analysis is restricted to the subset for which these data could be assembled (325 MPMs from 33 studies; details in Methods). We illustrate trait-dependent uncertainty effects using two analyses, a multi-species comparative analysis of life expectancy-shape relationships and a single-species time-series analysis of weather effects on recruitment. Through these analyses, we identify diagnostic features that help researchers assess robustness in their own work and clarify when explicit uncertainty propagation is likely to matter. Because most published plant MPMs are stage-structured rather than age-structured, many demographic quantities of biological interest (e.g. life expectancy and mortality shape) are inferred indirectly from stage transitions. This stage-to-age mapping can amplify the effects of sampling uncertainty, particularly for traits that depend on long-term survivorship.</w:t>
      </w:r>
    </w:p>
    <w:bookmarkEnd w:id="25"/>
    <w:bookmarkStart w:id="34" w:name="methods"/>
    <w:p>
      <w:pPr>
        <w:pStyle w:val="Heading1"/>
      </w:pPr>
      <w:r>
        <w:t xml:space="preserve">Methods</w:t>
      </w:r>
    </w:p>
    <w:bookmarkStart w:id="26"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w:t>
      </w:r>
      <w:r>
        <w:t xml:space="preserve"> </w:t>
      </w:r>
      <w:r>
        <w:t xml:space="preserve">“mean MPM”</w:t>
      </w:r>
      <w:r>
        <w:t xml:space="preserve"> </w:t>
      </w:r>
      <w:r>
        <w:t xml:space="preserve">calculated as an element-by-element arithmetic mean across multiple years and/or sites.</w:t>
      </w:r>
    </w:p>
    <w:bookmarkEnd w:id="26"/>
    <w:bookmarkStart w:id="27" w:name="target-studies"/>
    <w:p>
      <w:pPr>
        <w:pStyle w:val="Heading2"/>
      </w:pPr>
      <w:r>
        <w:t xml:space="preserve">Target studies</w:t>
      </w:r>
    </w:p>
    <w:p>
      <w:pPr>
        <w:pStyle w:val="FirstParagraph"/>
      </w:pPr>
      <w:r>
        <w:t xml:space="preserve">We used the COMPADRE database to identify an initial group of 91 studies from which we sought data. The initial search criteria were: studies published from 2010 onwards; species of common perennial growth forms (herbaceous, shrub, tree, palm, and succulent); wild populations not subjected to experimental treatments; and MPMs with three or more stage classes and a one-year projection interval. Of the 91 studies that met our initial criteria, we obtained the data required to model sampling uncertainty for 28, yielding a total of 298 MPMs for 73 populations of 27 species. We supplemented this set with 5 additional studies published before 2010 for which we had previously obtained data (these had been targeted based on a criterion of ≥4 years of temporal replication). Our final set therefore included 33 studies, representing 325 MPMs for 82 populations of 32 species.</w:t>
      </w:r>
    </w:p>
    <w:bookmarkEnd w:id="27"/>
    <w:bookmarkStart w:id="28"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d>
            <m:dPr>
              <m:begChr m:val="("/>
              <m:sepChr m:val=""/>
              <m:endChr m:val=")"/>
              <m:grow/>
            </m:dPr>
            <m:e>
              <m:r>
                <m:t>1</m:t>
              </m:r>
            </m:e>
          </m:d>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d>
            <m:dPr>
              <m:begChr m:val="("/>
              <m:sepChr m:val=""/>
              <m:endChr m:val=")"/>
              <m:grow/>
            </m:dPr>
            <m:e>
              <m:r>
                <m:t>2</m:t>
              </m:r>
            </m:e>
          </m:d>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bookmarkEnd w:id="28"/>
    <w:bookmarkStart w:id="29"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w:t>
      </w:r>
    </w:p>
    <w:bookmarkEnd w:id="29"/>
    <w:bookmarkStart w:id="33" w:name="analyses"/>
    <w:p>
      <w:pPr>
        <w:pStyle w:val="Heading2"/>
      </w:pPr>
      <w:r>
        <w:t xml:space="preserve">Analyses</w:t>
      </w:r>
    </w:p>
    <w:p>
      <w:pPr>
        <w:pStyle w:val="FirstParagraph"/>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w:t>
      </w:r>
    </w:p>
    <w:bookmarkStart w:id="30"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w:t>
      </w:r>
      <w:r>
        <w:t xml:space="preserve"> </w:t>
      </w:r>
      <w:r>
        <w:t xml:space="preserve">‘B’</w:t>
      </w:r>
      <w:r>
        <w:t xml:space="preserve">;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contains stage-specific death frequencies.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From these counts, the sampling distributions of the underlying transition rates are:</w:t>
      </w:r>
    </w:p>
    <w:p>
      <w:pPr>
        <w:pStyle w:val="BodyText"/>
      </w:pPr>
      <m:oMathPara>
        <m:oMathParaPr>
          <m:jc m:val="center"/>
        </m:oMathParaPr>
        <m:oMath>
          <m:d>
            <m:dPr>
              <m:begChr m:val="("/>
              <m:sepChr m:val=""/>
              <m:endChr m:val=")"/>
              <m:grow/>
            </m:dPr>
            <m:e>
              <m:r>
                <m:t>12</m:t>
              </m:r>
              <m:r>
                <m:rPr>
                  <m:sty m:val="p"/>
                </m:rPr>
                <m:t>,</m:t>
              </m:r>
              <m:r>
                <m:t>2</m:t>
              </m:r>
            </m:e>
          </m:d>
          <m:r>
            <m:rPr>
              <m:sty m:val="p"/>
            </m:rPr>
            <m:t>∼</m:t>
          </m:r>
          <m:r>
            <m:rPr>
              <m:nor/>
              <m:sty m:val="p"/>
            </m:rPr>
            <m:t>Multinomial</m:t>
          </m:r>
          <m:d>
            <m:dPr>
              <m:begChr m:val="("/>
              <m:sepChr m:val=""/>
              <m:endChr m:val=")"/>
              <m:grow/>
            </m:dPr>
            <m:e>
              <m:sSub>
                <m:e>
                  <m:r>
                    <m:t>U</m:t>
                  </m:r>
                </m:e>
                <m:sub>
                  <m:r>
                    <m:t>21</m:t>
                  </m:r>
                </m:sub>
              </m:sSub>
              <m:r>
                <m:rPr>
                  <m:sty m:val="p"/>
                </m:rPr>
                <m:t>,</m:t>
              </m:r>
              <m:sSub>
                <m:e>
                  <m:r>
                    <m:t>U</m:t>
                  </m:r>
                </m:e>
                <m:sub>
                  <m:r>
                    <m:t>d</m:t>
                  </m:r>
                  <m:r>
                    <m:t>1</m:t>
                  </m:r>
                </m:sub>
              </m:sSub>
            </m:e>
          </m:d>
          <m:r>
            <m:rPr>
              <m:sty m:val="p"/>
            </m:rPr>
            <m:t>,</m:t>
          </m:r>
        </m:oMath>
      </m:oMathPara>
    </w:p>
    <w:p>
      <w:pPr>
        <w:pStyle w:val="FirstParagraph"/>
      </w:pPr>
      <m:oMathPara>
        <m:oMathParaPr>
          <m:jc m:val="center"/>
        </m:oMathParaPr>
        <m:oMath>
          <m:d>
            <m:dPr>
              <m:begChr m:val="("/>
              <m:sepChr m:val=""/>
              <m:endChr m:val=")"/>
              <m:grow/>
            </m:dPr>
            <m:e>
              <m:r>
                <m:t>14</m:t>
              </m:r>
              <m:r>
                <m:rPr>
                  <m:sty m:val="p"/>
                </m:rPr>
                <m:t>,</m:t>
              </m:r>
              <m:r>
                <m:t>1</m:t>
              </m:r>
              <m:r>
                <m:rPr>
                  <m:sty m:val="p"/>
                </m:rPr>
                <m:t>,</m:t>
              </m:r>
              <m:r>
                <m:t>3</m:t>
              </m:r>
            </m:e>
          </m:d>
          <m:r>
            <m:rPr>
              <m:sty m:val="p"/>
            </m:rPr>
            <m:t>∼</m:t>
          </m:r>
          <m:r>
            <m:rPr>
              <m:nor/>
              <m:sty m:val="p"/>
            </m:rPr>
            <m:t>Multinomial</m:t>
          </m:r>
          <m:d>
            <m:dPr>
              <m:begChr m:val="("/>
              <m:sepChr m:val=""/>
              <m:endChr m:val=")"/>
              <m:grow/>
            </m:dPr>
            <m:e>
              <m:sSub>
                <m:e>
                  <m:r>
                    <m:t>U</m:t>
                  </m:r>
                </m:e>
                <m:sub>
                  <m:r>
                    <m:t>22</m:t>
                  </m:r>
                </m:sub>
              </m:sSub>
              <m:r>
                <m:rPr>
                  <m:sty m:val="p"/>
                </m:rPr>
                <m:t>,</m:t>
              </m:r>
              <m:sSub>
                <m:e>
                  <m:r>
                    <m:t>U</m:t>
                  </m:r>
                </m:e>
                <m:sub>
                  <m:r>
                    <m:t>32</m:t>
                  </m:r>
                </m:sub>
              </m:sSub>
              <m:r>
                <m:rPr>
                  <m:sty m:val="p"/>
                </m:rPr>
                <m:t>,</m:t>
              </m:r>
              <m:sSub>
                <m:e>
                  <m:r>
                    <m:t>U</m:t>
                  </m:r>
                </m:e>
                <m:sub>
                  <m:r>
                    <m:t>d</m:t>
                  </m:r>
                  <m:r>
                    <m:t>2</m:t>
                  </m:r>
                </m:sub>
              </m:sSub>
            </m:e>
          </m:d>
          <m:r>
            <m:rPr>
              <m:sty m:val="p"/>
            </m:rPr>
            <m:t>,</m:t>
          </m:r>
        </m:oMath>
      </m:oMathPara>
    </w:p>
    <w:p>
      <w:pPr>
        <w:pStyle w:val="FirstParagraph"/>
      </w:pPr>
      <m:oMathPara>
        <m:oMathParaPr>
          <m:jc m:val="center"/>
        </m:oMathParaPr>
        <m:oMath>
          <m:d>
            <m:dPr>
              <m:begChr m:val="("/>
              <m:sepChr m:val=""/>
              <m:endChr m:val=")"/>
              <m:grow/>
            </m:dPr>
            <m:e>
              <m:r>
                <m:t>6</m:t>
              </m:r>
              <m:r>
                <m:rPr>
                  <m:sty m:val="p"/>
                </m:rPr>
                <m:t>,</m:t>
              </m:r>
              <m:r>
                <m:t>2</m:t>
              </m:r>
              <m:r>
                <m:rPr>
                  <m:sty m:val="p"/>
                </m:rPr>
                <m:t>,</m:t>
              </m:r>
              <m:r>
                <m:t>1</m:t>
              </m:r>
            </m:e>
          </m:d>
          <m:r>
            <m:rPr>
              <m:sty m:val="p"/>
            </m:rPr>
            <m:t>∼</m:t>
          </m:r>
          <m:r>
            <m:rPr>
              <m:nor/>
              <m:sty m:val="p"/>
            </m:rPr>
            <m:t>Multinomial</m:t>
          </m:r>
          <m:d>
            <m:dPr>
              <m:begChr m:val="("/>
              <m:sepChr m:val=""/>
              <m:endChr m:val=")"/>
              <m:grow/>
            </m:dPr>
            <m:e>
              <m:sSub>
                <m:e>
                  <m:r>
                    <m:t>U</m:t>
                  </m:r>
                </m:e>
                <m:sub>
                  <m:r>
                    <m:t>33</m:t>
                  </m:r>
                </m:sub>
              </m:sSub>
              <m:r>
                <m:rPr>
                  <m:sty m:val="p"/>
                </m:rPr>
                <m:t>,</m:t>
              </m:r>
              <m:sSub>
                <m:e>
                  <m:r>
                    <m:t>U</m:t>
                  </m:r>
                </m:e>
                <m:sub>
                  <m:r>
                    <m:t>43</m:t>
                  </m:r>
                </m:sub>
              </m:sSub>
              <m:r>
                <m:rPr>
                  <m:sty m:val="p"/>
                </m:rPr>
                <m:t>,</m:t>
              </m:r>
              <m:sSub>
                <m:e>
                  <m:r>
                    <m:t>U</m:t>
                  </m:r>
                </m:e>
                <m:sub>
                  <m:r>
                    <m:t>d</m:t>
                  </m:r>
                  <m:r>
                    <m:t>3</m:t>
                  </m:r>
                </m:sub>
              </m:sSub>
            </m:e>
          </m:d>
          <m:r>
            <m:rPr>
              <m:sty m:val="p"/>
            </m:rPr>
            <m:t>,</m:t>
          </m:r>
        </m:oMath>
      </m:oMathPara>
    </w:p>
    <w:p>
      <w:pPr>
        <w:pStyle w:val="FirstParagraph"/>
      </w:pPr>
      <m:oMathPara>
        <m:oMathParaPr>
          <m:jc m:val="center"/>
        </m:oMathParaPr>
        <m:oMath>
          <m:d>
            <m:dPr>
              <m:begChr m:val="("/>
              <m:sepChr m:val=""/>
              <m:endChr m:val=")"/>
              <m:grow/>
            </m:dPr>
            <m:e>
              <m:r>
                <m:t>13</m:t>
              </m:r>
              <m:r>
                <m:rPr>
                  <m:sty m:val="p"/>
                </m:rPr>
                <m:t>,</m:t>
              </m:r>
              <m:r>
                <m:t>33</m:t>
              </m:r>
              <m:r>
                <m:rPr>
                  <m:sty m:val="p"/>
                </m:rPr>
                <m:t>,</m:t>
              </m:r>
              <m:r>
                <m:t>1</m:t>
              </m:r>
            </m:e>
          </m:d>
          <m:r>
            <m:rPr>
              <m:sty m:val="p"/>
            </m:rPr>
            <m:t>∼</m:t>
          </m:r>
          <m:r>
            <m:rPr>
              <m:nor/>
              <m:sty m:val="p"/>
            </m:rPr>
            <m:t>Multinomial</m:t>
          </m:r>
          <m:d>
            <m:dPr>
              <m:begChr m:val="("/>
              <m:sepChr m:val=""/>
              <m:endChr m:val=")"/>
              <m:grow/>
            </m:dPr>
            <m:e>
              <m:sSub>
                <m:e>
                  <m:r>
                    <m:t>U</m:t>
                  </m:r>
                </m:e>
                <m:sub>
                  <m:r>
                    <m:t>34</m:t>
                  </m:r>
                </m:sub>
              </m:sSub>
              <m:r>
                <m:rPr>
                  <m:sty m:val="p"/>
                </m:rPr>
                <m:t>,</m:t>
              </m:r>
              <m:sSub>
                <m:e>
                  <m:r>
                    <m:t>U</m:t>
                  </m:r>
                </m:e>
                <m:sub>
                  <m:r>
                    <m:t>44</m:t>
                  </m:r>
                </m:sub>
              </m:sSub>
              <m:r>
                <m:rPr>
                  <m:sty m:val="p"/>
                </m:rPr>
                <m:t>,</m:t>
              </m:r>
              <m:sSub>
                <m:e>
                  <m:r>
                    <m:t>U</m:t>
                  </m:r>
                </m:e>
                <m:sub>
                  <m:r>
                    <m:t>d</m:t>
                  </m:r>
                  <m:r>
                    <m:t>4</m:t>
                  </m:r>
                </m:sub>
              </m:sSub>
            </m:e>
          </m:d>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rPr>
                  <m:sty m:val="p"/>
                </m:rPr>
                <m:t>exp</m:t>
              </m:r>
              <m:d>
                <m:dPr>
                  <m:begChr m:val="("/>
                  <m:sepChr m:val=""/>
                  <m:endChr m:val=")"/>
                  <m:grow/>
                </m:dPr>
                <m:e>
                  <m:sSub>
                    <m:e>
                      <m:r>
                        <m:t>F</m:t>
                      </m:r>
                    </m:e>
                    <m:sub>
                      <m:r>
                        <m:t>14</m:t>
                      </m:r>
                    </m:sub>
                  </m:sSub>
                  <m:r>
                    <m:rPr>
                      <m:sty m:val="p"/>
                    </m:rPr>
                    <m:t>+</m:t>
                  </m:r>
                  <m:r>
                    <m:rPr>
                      <m:sty m:val="p"/>
                    </m:rPr>
                    <m:t>log</m:t>
                  </m:r>
                  <m:r>
                    <m:t>47</m:t>
                  </m:r>
                </m:e>
              </m:d>
            </m:e>
          </m:d>
          <m:r>
            <m:rPr>
              <m:sty m:val="p"/>
            </m:rPr>
            <m:t>.</m:t>
          </m:r>
        </m:oMath>
      </m:oMathPara>
    </w:p>
    <w:p>
      <w:pPr>
        <w:pStyle w:val="FirstParagraph"/>
      </w:pPr>
      <w:r>
        <w:t xml:space="preserve">To create a sampling distribution for the focal MPM, we take 2,000 independent draws from the sampling distributions implied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bootstrap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bootstrap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two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 series in which the response variable is a directly observed count, the statistical model is closely tied to the raw data, and the question concerns an environmental driver rather than a demographic trait per se. Together, the two analyses bracket a range of typical uses of published MPMs and allow us to ask whether the consequences of sampling uncertainty are consistent across these contexts or depend on the nature of the analysis.</w:t>
      </w:r>
    </w:p>
    <w:bookmarkEnd w:id="30"/>
    <w:bookmarkStart w:id="31"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w:t>
      </w:r>
      <w:r>
        <w:t xml:space="preserve"> </w:t>
      </w:r>
      <w:r>
        <w:t xml:space="preserve">“shape”</w:t>
      </w:r>
      <w:r>
        <w:t xml:space="preserve"> </w:t>
      </w:r>
      <w:r>
        <w:t xml:space="preserve">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 history variation (e.g. , Salguero-Gómez et al. , 2016; Healy et al. ,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d>
            <m:dPr>
              <m:begChr m:val="("/>
              <m:sepChr m:val=""/>
              <m:endChr m:val=")"/>
              <m:grow/>
            </m:dPr>
            <m:e>
              <m:r>
                <m:t>3</m:t>
              </m:r>
            </m:e>
          </m:d>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 S1.2).</w:t>
      </w:r>
    </w:p>
    <w:p>
      <w:pPr>
        <w:pStyle w:val="BodyText"/>
      </w:pPr>
      <w:r>
        <w:t xml:space="preserve">We calculated life expectancy and shape at the population level, as defined in COMPADRE. For populations with temporal replication (i.e., MPMs across multiple time periods), we used the pooled population MPM in our analysis, if available; otherwise, we used the population mean MPM. To model sampling uncertainty for pooled or mean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4</m:t>
              </m:r>
            </m:e>
          </m:d>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To incorporate sampling uncertainty, we used a measurement error model (based on McElreath 2020, sec. 14.1.2) 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modelled based on the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of their respective sampling distributions (derived as described in the sampling-distribution section above), as in Eqs. (5), (6), and (7),</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5</m:t>
              </m:r>
            </m:e>
          </m:d>
        </m:oMath>
      </m:oMathPara>
    </w:p>
    <w:p>
      <w:pPr>
        <w:pStyle w:val="FirstParagraph"/>
      </w:pPr>
      <m:oMathPara>
        <m:oMathParaPr>
          <m:jc m:val="center"/>
        </m:oMathParaPr>
        <m:oMath>
          <m:sSub>
            <m:e>
              <m:r>
                <m:t>x</m:t>
              </m:r>
            </m:e>
            <m:sub>
              <m:r>
                <m:t>i</m:t>
              </m:r>
              <m:r>
                <m:t>j</m:t>
              </m:r>
            </m:sub>
          </m:sSub>
          <m:r>
            <m:rPr>
              <m:sty m:val="p"/>
            </m:rPr>
            <m:t>∼</m:t>
          </m:r>
          <m:r>
            <m:rPr>
              <m:nor/>
              <m:sty m:val="p"/>
            </m:rPr>
            <m:t>Normal</m:t>
          </m:r>
          <m:d>
            <m:dPr>
              <m:begChr m:val="("/>
              <m:sepChr m:val=""/>
              <m:endChr m:val=")"/>
              <m:grow/>
            </m:dPr>
            <m:e>
              <m:sSub>
                <m:e>
                  <m:acc>
                    <m:accPr>
                      <m:chr m:val="‾"/>
                    </m:accPr>
                    <m:e>
                      <m:r>
                        <m:t>x</m:t>
                      </m:r>
                    </m:e>
                  </m:acc>
                </m:e>
                <m:sub>
                  <m:r>
                    <m:t>i</m:t>
                  </m:r>
                  <m:r>
                    <m:t>j</m:t>
                  </m:r>
                </m:sub>
              </m:sSub>
              <m:r>
                <m:rPr>
                  <m:sty m:val="p"/>
                </m:rPr>
                <m:t>,</m:t>
              </m:r>
              <m:sSubSup>
                <m:e>
                  <m:r>
                    <m:t>σ</m:t>
                  </m:r>
                </m:e>
                <m:sub>
                  <m:r>
                    <m:t>x</m:t>
                  </m:r>
                  <m:r>
                    <m:rPr>
                      <m:sty m:val="p"/>
                    </m:rPr>
                    <m:t>,</m:t>
                  </m:r>
                  <m:r>
                    <m:t>i</m:t>
                  </m:r>
                  <m:r>
                    <m:t>j</m:t>
                  </m:r>
                </m:sub>
                <m:sup>
                  <m:r>
                    <m:t>2</m:t>
                  </m:r>
                </m:sup>
              </m:sSubSup>
            </m:e>
          </m:d>
          <m:r>
            <m:rPr>
              <m:sty m:val="p"/>
            </m:rPr>
            <m:t>,</m:t>
          </m:r>
          <m:r>
            <m:t>  </m:t>
          </m:r>
          <m:d>
            <m:dPr>
              <m:begChr m:val="("/>
              <m:sepChr m:val=""/>
              <m:endChr m:val=")"/>
              <m:grow/>
            </m:dPr>
            <m:e>
              <m:r>
                <m:t>6</m:t>
              </m:r>
            </m:e>
          </m:d>
        </m:oMath>
      </m:oMathPara>
    </w:p>
    <w:p>
      <w:pPr>
        <w:pStyle w:val="FirstParagraph"/>
      </w:pPr>
      <m:oMathPara>
        <m:oMathParaPr>
          <m:jc m:val="center"/>
        </m:oMathParaPr>
        <m:oMath>
          <m:sSub>
            <m:e>
              <m:r>
                <m:t>y</m:t>
              </m:r>
            </m:e>
            <m:sub>
              <m:r>
                <m:t>i</m:t>
              </m:r>
              <m:r>
                <m:t>j</m:t>
              </m:r>
            </m:sub>
          </m:sSub>
          <m:r>
            <m:rPr>
              <m:sty m:val="p"/>
            </m:rPr>
            <m:t>∼</m:t>
          </m:r>
          <m:r>
            <m:rPr>
              <m:nor/>
              <m:sty m:val="p"/>
            </m:rPr>
            <m:t>Normal</m:t>
          </m:r>
          <m:d>
            <m:dPr>
              <m:begChr m:val="("/>
              <m:sepChr m:val=""/>
              <m:endChr m:val=")"/>
              <m:grow/>
            </m:dPr>
            <m:e>
              <m:sSub>
                <m:e>
                  <m:acc>
                    <m:accPr>
                      <m:chr m:val="‾"/>
                    </m:accPr>
                    <m:e>
                      <m:r>
                        <m:t>y</m:t>
                      </m:r>
                    </m:e>
                  </m:acc>
                </m:e>
                <m:sub>
                  <m:r>
                    <m:t>i</m:t>
                  </m:r>
                  <m:r>
                    <m:t>j</m:t>
                  </m:r>
                </m:sub>
              </m:sSub>
              <m:r>
                <m:rPr>
                  <m:sty m:val="p"/>
                </m:rPr>
                <m:t>,</m:t>
              </m:r>
              <m:sSubSup>
                <m:e>
                  <m:r>
                    <m:t>σ</m:t>
                  </m:r>
                </m:e>
                <m:sub>
                  <m:r>
                    <m:t>y</m:t>
                  </m:r>
                  <m:r>
                    <m:rPr>
                      <m:sty m:val="p"/>
                    </m:rPr>
                    <m:t>,</m:t>
                  </m:r>
                  <m:r>
                    <m:t>i</m:t>
                  </m:r>
                  <m:r>
                    <m:t>j</m:t>
                  </m:r>
                </m:sub>
                <m:sup>
                  <m:r>
                    <m:t>2</m:t>
                  </m:r>
                </m:sup>
              </m:sSubSup>
            </m:e>
          </m:d>
          <m:r>
            <m:rPr>
              <m:sty m:val="p"/>
            </m:rPr>
            <m:t>.</m:t>
          </m:r>
          <m:r>
            <m:t>  </m:t>
          </m:r>
          <m:d>
            <m:dPr>
              <m:begChr m:val="("/>
              <m:sepChr m:val=""/>
              <m:endChr m:val=")"/>
              <m:grow/>
            </m:dPr>
            <m:e>
              <m:r>
                <m:t>7</m:t>
              </m:r>
            </m:e>
          </m:d>
        </m:oMath>
      </m:oMathPara>
    </w:p>
    <w:p>
      <w:pPr>
        <w:pStyle w:val="FirstParagraph"/>
      </w:pPr>
      <w:r>
        <w:t xml:space="preserve">We fit the models described above using RStan (Stan Development Team 2025; Carpenter et al. 2017), with priors and settings as described in Supplementary Methods section S1.4.</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Supplementary Methods section S1.5 and Supplementary Table S3.</w:t>
      </w:r>
    </w:p>
    <w:bookmarkEnd w:id="31"/>
    <w:bookmarkStart w:id="32"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w:t>
      </w:r>
      <w:r>
        <w:t xml:space="preserve"> </w:t>
      </w:r>
      <w:r>
        <w:t xml:space="preserve">“rosette”</w:t>
      </w:r>
      <w:r>
        <w:t xml:space="preserve"> </w:t>
      </w:r>
      <w:r>
        <w:t xml:space="preserve">stage class (i.e. no rosettes were observed in the sample plots). Instead of examining variation in population growth rates (which assumes ergodicity), we focus only on the reproductive transition (hereafter</w:t>
      </w:r>
      <w:r>
        <w:t xml:space="preserve"> </w:t>
      </w:r>
      <w:r>
        <w:t xml:space="preserve">‘recruitment’</w:t>
      </w:r>
      <w:r>
        <w:t xml:space="preserve">,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We note that recruitment estimated in this way is a relatively aggregated transition whose behaviour under sampling uncertainty may differ from that of survival transitions, and that results from this analysis should not be assumed to generalise to other transition types.</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d>
            <m:dPr>
              <m:begChr m:val="("/>
              <m:sepChr m:val=""/>
              <m:endChr m:val=")"/>
              <m:grow/>
            </m:dPr>
            <m:e>
              <m:sSub>
                <m:e>
                  <m:r>
                    <m:t>y</m:t>
                  </m:r>
                </m:e>
                <m:sub>
                  <m:r>
                    <m:t>t</m:t>
                  </m:r>
                </m:sub>
              </m:sSub>
            </m:e>
          </m:d>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t>  </m:t>
          </m:r>
          <m:d>
            <m:dPr>
              <m:begChr m:val="("/>
              <m:sepChr m:val=""/>
              <m:endChr m:val=")"/>
              <m:grow/>
            </m:dPr>
            <m:e>
              <m:r>
                <m:t>8</m:t>
              </m:r>
            </m:e>
          </m:d>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9</m:t>
              </m:r>
            </m:e>
          </m:d>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10</m:t>
              </m:r>
            </m:e>
          </m:d>
        </m:oMath>
      </m:oMathPara>
    </w:p>
    <w:p>
      <w:pPr>
        <w:pStyle w:val="FirstParagraph"/>
      </w:pPr>
      <w:r>
        <w:t xml:space="preserve">respectively.</w:t>
      </w:r>
    </w:p>
    <w:p>
      <w:pPr>
        <w:pStyle w:val="BodyText"/>
      </w:pPr>
      <w:r>
        <w:t xml:space="preserve">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d>
          <m:dPr>
            <m:begChr m:val="("/>
            <m:sepChr m:val=""/>
            <m:endChr m:val=")"/>
            <m:grow/>
          </m:dPr>
          <m:e>
            <m:sSub>
              <m:e>
                <m:r>
                  <m:t>N</m:t>
                </m:r>
              </m:e>
              <m:sub>
                <m:r>
                  <m:t>t</m:t>
                </m:r>
                <m:r>
                  <m:rPr>
                    <m:sty m:val="p"/>
                  </m:rPr>
                  <m:t>−</m:t>
                </m:r>
                <m:r>
                  <m:t>1</m:t>
                </m:r>
              </m:sub>
            </m:sSub>
          </m:e>
        </m:d>
      </m:oMath>
      <w:r>
        <w:t xml:space="preserve"> </w:t>
      </w:r>
      <w:r>
        <w:t xml:space="preserve">as an offset via the year-specific intercept model in Eq. (12), so expected counts scale with the number of reproductive plants sampled.</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t>  </m:t>
          </m:r>
          <m:d>
            <m:dPr>
              <m:begChr m:val="("/>
              <m:sepChr m:val=""/>
              <m:endChr m:val=")"/>
              <m:grow/>
            </m:dPr>
            <m:e>
              <m:r>
                <m:t>11</m:t>
              </m:r>
            </m:e>
          </m:d>
        </m:oMath>
      </m:oMathPara>
    </w:p>
    <w:p>
      <w:pPr>
        <w:pStyle w:val="FirstParagraph"/>
      </w:pPr>
      <w:r>
        <w:t xml:space="preserve">year-specific intercepts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d>
                <m:dPr>
                  <m:begChr m:val="("/>
                  <m:sepChr m:val=""/>
                  <m:endChr m:val=")"/>
                  <m:grow/>
                </m:dPr>
                <m:e>
                  <m:sSub>
                    <m:e>
                      <m:r>
                        <m:t>N</m:t>
                      </m:r>
                    </m:e>
                    <m:sub>
                      <m:r>
                        <m:t>t</m:t>
                      </m:r>
                      <m:r>
                        <m:rPr>
                          <m:sty m:val="p"/>
                        </m:rPr>
                        <m:t>−</m:t>
                      </m:r>
                      <m:r>
                        <m:t>1</m:t>
                      </m:r>
                    </m:sub>
                  </m:sSub>
                </m:e>
              </m:d>
              <m:r>
                <m:rPr>
                  <m:sty m:val="p"/>
                </m:rPr>
                <m:t>,</m:t>
              </m:r>
              <m:sSubSup>
                <m:e>
                  <m:r>
                    <m:t>σ</m:t>
                  </m:r>
                </m:e>
                <m:sub>
                  <m:r>
                    <m:t>α</m:t>
                  </m:r>
                </m:sub>
                <m:sup>
                  <m:r>
                    <m:t>2</m:t>
                  </m:r>
                </m:sup>
              </m:sSubSup>
            </m:e>
          </m:d>
          <m:r>
            <m:t>  </m:t>
          </m:r>
          <m:d>
            <m:dPr>
              <m:begChr m:val="("/>
              <m:sepChr m:val=""/>
              <m:endChr m:val=")"/>
              <m:grow/>
            </m:dPr>
            <m:e>
              <m:r>
                <m:t>12</m:t>
              </m:r>
            </m:e>
          </m:d>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d>
          <m:dPr>
            <m:begChr m:val="("/>
            <m:sepChr m:val=""/>
            <m:endChr m:val=")"/>
            <m:grow/>
          </m:dPr>
          <m:e>
            <m:sSub>
              <m:e>
                <m:acc>
                  <m:accPr>
                    <m:chr m:val="̂"/>
                  </m:accPr>
                  <m:e>
                    <m:r>
                      <m:t>r</m:t>
                    </m:r>
                  </m:e>
                </m:acc>
              </m:e>
              <m:sub>
                <m:r>
                  <m:t>t</m:t>
                </m:r>
              </m:sub>
            </m:sSub>
          </m:e>
        </m:d>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with the same coefficient prior and covariance structure (Eqs. (13) and (14)):</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13</m:t>
              </m:r>
            </m:e>
          </m:d>
        </m:oMath>
      </m:oMathPara>
    </w:p>
    <w:p>
      <w:pPr>
        <w:pStyle w:val="FirstParagraph"/>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14</m:t>
              </m:r>
            </m:e>
          </m:d>
        </m:oMath>
      </m:oMathPara>
    </w:p>
    <w:p>
      <w:pPr>
        <w:pStyle w:val="FirstParagraph"/>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using RStan,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matched formulations on the logit scale: an SSD-weighted quasibinomial GLM for point estimates (</w:t>
      </w:r>
      <m:oMath>
        <m:r>
          <m:rPr>
            <m:nor/>
            <m:sty m:val="p"/>
            <m:scr m:val="monospace"/>
          </m:rPr>
          <m:t>surv</m:t>
        </m:r>
        <m:r>
          <m:rPr>
            <m:sty m:val="p"/>
          </m:rPr>
          <m:t>∼</m:t>
        </m:r>
        <m:r>
          <m:rPr>
            <m:nor/>
            <m:sty m:val="p"/>
            <m:scr m:val="monospace"/>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Full implementation details are provided in Supplementary Methods sections S1.6 and S1.9.</w:t>
      </w:r>
    </w:p>
    <w:bookmarkEnd w:id="32"/>
    <w:bookmarkEnd w:id="33"/>
    <w:bookmarkEnd w:id="34"/>
    <w:bookmarkStart w:id="38" w:name="results"/>
    <w:p>
      <w:pPr>
        <w:pStyle w:val="Heading1"/>
      </w:pPr>
      <w:r>
        <w:t xml:space="preserve">Results</w:t>
      </w:r>
    </w:p>
    <w:bookmarkStart w:id="35" w:name="Xdd6638ed7316a87858b3445bbb79e25a6ceb092"/>
    <w:p>
      <w:pPr>
        <w:pStyle w:val="Heading2"/>
      </w:pPr>
      <w:r>
        <w:t xml:space="preserve">Analysis 1: Comparative analysis of mortality trajectories</w:t>
      </w:r>
    </w:p>
    <w:p>
      <w:pPr>
        <w:pStyle w:val="FirstParagraph"/>
      </w:pPr>
      <w:r>
        <w:t xml:space="preserve">For our parameters of interest, life expectancy and shape, the estimated sampling-to-other variance ratios across population-level MPM entries in analysis 1 were 2.00 and 3.28, respectively (Table</w:t>
      </w:r>
      <w:r>
        <w:t xml:space="preserve"> </w:t>
      </w:r>
      <w:r>
        <w:t xml:space="preserve">1</w:t>
      </w:r>
      <w:r>
        <w:t xml:space="preserve">).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only moderately affected the overall result (Fig.</w:t>
      </w:r>
      <w:r>
        <w:t xml:space="preserve"> </w:t>
      </w:r>
      <w:r>
        <w:t xml:space="preserve">4</w:t>
      </w:r>
      <w:r>
        <w:t xml:space="preserve">). For the slope parameter β, the posterior distribution from the point estimate model was centred slightly to the left of zero (P[β &gt; 0] = 0.258), whereas the corresponding posterior from the sampling uncertainty model was shifted somewhat to the right (P[β &gt; 0] = 0.646), indicating stronger evidence for a positive relationship between life expectancy and shape.</w:t>
      </w:r>
    </w:p>
    <w:p>
      <w:pPr>
        <w:pStyle w:val="BodyText"/>
      </w:pPr>
      <w:r>
        <w:t xml:space="preserve">Counterintuitively, there was less posterior uncertainty in β in the sampling uncertainty model than in the point estimate model. To see why, consider that a regression slope is harder to estimate precisely when the data are very spread out, because many different slopes could fit the data reasonably well. The point estimates of shape are artificially spread out because boundary-survival estimates drive some of them to extreme values. When those extreme point estimates are replaced by their sampling distributions, which, as Figure</w:t>
      </w:r>
      <w:r>
        <w:t xml:space="preserve"> </w:t>
      </w:r>
      <w:r>
        <w:t xml:space="preserve">4</w:t>
      </w:r>
      <w:r>
        <w:t xml:space="preserve">A shows, tend to cluster much closer to zero, the data are effectively less dispersed, and the slope becomes easier to pin down.</w:t>
      </w:r>
    </w:p>
    <w:bookmarkEnd w:id="35"/>
    <w:bookmarkStart w:id="36"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 estimate model and the sampling 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 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 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for stage 1 we show a descriptive open-circle marker at mean survival across years, and for stage 4 (all years at 100% survival) we show a descriptive open-circle marker at survival = 1, both without interval bars.</w:t>
      </w:r>
    </w:p>
    <w:bookmarkEnd w:id="36"/>
    <w:bookmarkStart w:id="37" w:name="Xdb8f4f06f4c8750476c30b7a7cc67a97e3f87aa"/>
    <w:p>
      <w:pPr>
        <w:pStyle w:val="Heading2"/>
      </w:pPr>
      <w:r>
        <w:t xml:space="preserve">Analysis 3: Multi-site extension of climate-demography models</w:t>
      </w:r>
    </w:p>
    <w:p>
      <w:pPr>
        <w:pStyle w:val="FirstParagraph"/>
      </w:pPr>
      <w:r>
        <w:t xml:space="preserve">Extending the same framework to three</w:t>
      </w:r>
      <w:r>
        <w:t xml:space="preserve"> </w:t>
      </w:r>
      <w:r>
        <w:rPr>
          <w:i/>
          <w:iCs/>
        </w:rPr>
        <w:t xml:space="preserve">Astragalus scaphoides</w:t>
      </w:r>
      <w:r>
        <w:t xml:space="preserve"> </w:t>
      </w:r>
      <w:r>
        <w:t xml:space="preserve">populations (Haynes Creek, McDevitt Creek, and Sheep Corral Gulch) yielded the same overall pattern: point-estimate and sampling-uncertainty models were closely aligned within site, while differences among sites were more pronounced (Fig.</w:t>
      </w:r>
      <w:r>
        <w:t xml:space="preserve"> </w:t>
      </w:r>
      <w:r>
        <w:t xml:space="preserve">6</w:t>
      </w:r>
      <w:r>
        <w:t xml:space="preserve">). Across sites, we had 9-11 years of annual demographic records, with 8-10 years retained for model fitting after filtering (0-3 years excluded; Supplementary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(Supplementary Table S8). Monthly-lag coefficient profiles were likewise highly concordant between formulations, with within-site correlations of posterior medians ranging from 0.986 to 0.995 and a maximum lag-specific median difference of 0.039 (Fig.</w:t>
      </w:r>
      <w:r>
        <w:t xml:space="preserve"> </w:t>
      </w:r>
      <w:r>
        <w:t xml:space="preserve">6</w:t>
      </w:r>
      <w:r>
        <w:t xml:space="preserve">). As in analysis 2, these results indicate limited sensitivity of climate-effect inference to transition-rate sampling uncertainty in this setting.</w:t>
      </w:r>
    </w:p>
    <w:bookmarkEnd w:id="37"/>
    <w:bookmarkEnd w:id="38"/>
    <w:bookmarkStart w:id="45" w:name="discussion"/>
    <w:p>
      <w:pPr>
        <w:pStyle w:val="Heading1"/>
      </w:pPr>
      <w:r>
        <w:t xml:space="preserve">Discussion</w:t>
      </w:r>
    </w:p>
    <w:bookmarkStart w:id="39"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We use</w:t>
      </w:r>
      <w:r>
        <w:t xml:space="preserve"> </w:t>
      </w:r>
      <w:r>
        <w:t xml:space="preserve">“materially affects inference”</w:t>
      </w:r>
      <w:r>
        <w:t xml:space="preserve"> </w:t>
      </w:r>
      <w:r>
        <w:t xml:space="preserve">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analysis, where the response variable was more directly linked to observed counts and less dependent on long-term survivorship.</w:t>
      </w:r>
    </w:p>
    <w:bookmarkEnd w:id="39"/>
    <w:bookmarkStart w:id="40"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pronounced sensitivity of certain demographic traits reflects both statistical and structural features of stage-structured matrix models. Traits such as life expectancy and the shape of the mortality distribution depend on survivorship at advanced ages, which in MPMs is inferred indirectly via age-from-stage methods. These estimates are therefore particularly sensitive to uncertainty in late-stage survival and to the coarse representation of age variation inherent in many published matrices, especially when analyses are anchored at reproductive maturity.</w:t>
      </w:r>
    </w:p>
    <w:p>
      <w:pPr>
        <w:pStyle w:val="BodyText"/>
      </w:pPr>
      <w:r>
        <w:t xml:space="preserve">Several features of MPM structure exacerbate this sensitivity. In the species-level mean MPM set used for analysis 1 (26 species; species identities listed in Supplementary Methods section S1.8), 35% include only a single reproductive stage class, providing no information on age-related variation among individuals that enter and remain in the reproductive class until death. Even among matrices with two or more reproductive stages, 28% reach a quasi-stable distribution in less than one life expectancy, limiting reliable mortality estimates to relatively young age classes. A particularly important source of distortion arises from boundary estimates of stage-specific survival, where point estimates approach either 0% or 100%. Such estimates are common in published matrices, often arising from small sample sizes or limited temporal replication, and can systematically displace point estimates of derived traits from the centre of their sampling distributions. Notably, survival estimates of 100% occur in 24% of species-averaged MPMs in COMPADRE (though only 7% in COMADRE), indicating that this is not a rare edge case.</w:t>
      </w:r>
    </w:p>
    <w:bookmarkEnd w:id="40"/>
    <w:bookmarkStart w:id="41"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Analyses based on highly aggregated demographic metrics, such as population growth rate, mean vital rates, or generation time, are often robust to sampling uncertainty and may not require explicit uncertainty modelling. Analyses of ageing, longevity, or mortality trajectories are considerably more sensitive and should be treated with caution unless sampling uncertainty is explicitly incorporated.</w:t>
      </w:r>
    </w:p>
    <w:p>
      <w:pPr>
        <w:pStyle w:val="BodyText"/>
      </w:pPr>
      <w:r>
        <w:t xml:space="preserve">Several diagnostic features can help identify analyses that are likely to be fragile:</w:t>
      </w:r>
    </w:p>
    <w:p>
      <w:pPr>
        <w:pStyle w:val="Compact"/>
        <w:numPr>
          <w:ilvl w:val="0"/>
          <w:numId w:val="1002"/>
        </w:numPr>
      </w:pPr>
      <w:r>
        <w:t xml:space="preserve">Stage-specific survival estimates equal or close to 1 or 0</w:t>
      </w:r>
    </w:p>
    <w:p>
      <w:pPr>
        <w:pStyle w:val="Compact"/>
        <w:numPr>
          <w:ilvl w:val="0"/>
          <w:numId w:val="1002"/>
        </w:numPr>
      </w:pPr>
      <w:r>
        <w:t xml:space="preserve">Very small sample sizes underlying key transitions (matrix elements with strong influence on the focal derived quantity.)</w:t>
      </w:r>
    </w:p>
    <w:p>
      <w:pPr>
        <w:pStyle w:val="Compact"/>
        <w:numPr>
          <w:ilvl w:val="0"/>
          <w:numId w:val="1002"/>
        </w:numPr>
      </w:pPr>
      <w:r>
        <w:t xml:space="preserve">Matrices with only a single reproductive stage class</w:t>
      </w:r>
    </w:p>
    <w:p>
      <w:pPr>
        <w:pStyle w:val="Compact"/>
        <w:numPr>
          <w:ilvl w:val="0"/>
          <w:numId w:val="1002"/>
        </w:numPr>
      </w:pPr>
      <w:r>
        <w:t xml:space="preserve">Time to quasi-stable distribution that is short relative to estimated life expectancy</w:t>
      </w:r>
    </w:p>
    <w:p>
      <w:pPr>
        <w:pStyle w:val="FirstParagraph"/>
      </w:pPr>
      <w:r>
        <w:t xml:space="preserve">When one or more of these features are present, point estimates derived from MPMs may be biased or overconfident, even if they appear precise. Importantly, the absence of a detectable effect of sampling uncertainty in some analyses, such as our climate-recruitment analysis, should not be taken as evidence that uncertainty propagation is unnecessary. Rather, it underscores the need for a trait- and context-specific assessment of robustness.</w:t>
      </w:r>
    </w:p>
    <w:bookmarkEnd w:id="41"/>
    <w:bookmarkStart w:id="42"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2"/>
    <w:bookmarkStart w:id="43"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Of the 91 source publications we initially targeted, only a small subset provided sufficient information to model uncertainty in survival or reproductive transitions.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w:t>
      </w:r>
      <w:r>
        <w:t xml:space="preserve"> </w:t>
      </w:r>
      <w:r>
        <w:t xml:space="preserve">“correct”</w:t>
      </w:r>
      <w:r>
        <w:t xml:space="preserve"> </w:t>
      </w:r>
      <w:r>
        <w:t xml:space="preserve">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3"/>
    <w:bookmarkStart w:id="44"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that inference from published MPMs is often robust for these traits.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indistinguishable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4"/>
    <w:bookmarkEnd w:id="45"/>
    <w:bookmarkStart w:id="46"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6"/>
    <w:bookmarkStart w:id="47" w:name="data-availability"/>
    <w:p>
      <w:pPr>
        <w:pStyle w:val="Heading1"/>
      </w:pPr>
      <w:r>
        <w:t xml:space="preserve">Data availability</w:t>
      </w:r>
    </w:p>
    <w:p>
      <w:pPr>
        <w:pStyle w:val="FirstParagraph"/>
      </w:pPr>
      <w:r>
        <w:t xml:space="preserve">Data and code required to reproduce our analyses are archived on Zenodo ([DOI to be added upon deposition]).</w:t>
      </w:r>
    </w:p>
    <w:bookmarkEnd w:id="47"/>
    <w:bookmarkStart w:id="48"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3"/>
        </w:numPr>
      </w:pPr>
      <w:r>
        <w:rPr>
          <w:b/>
          <w:bCs/>
        </w:rPr>
        <w:t xml:space="preserve">Supplementary Methods S1.1</w:t>
      </w:r>
      <w:r>
        <w:t xml:space="preserve">: Sampling-distribution workflow used for each MPM.</w:t>
      </w:r>
    </w:p>
    <w:p>
      <w:pPr>
        <w:pStyle w:val="Compact"/>
        <w:numPr>
          <w:ilvl w:val="0"/>
          <w:numId w:val="1003"/>
        </w:numPr>
      </w:pPr>
      <w:r>
        <w:rPr>
          <w:b/>
          <w:bCs/>
        </w:rPr>
        <w:t xml:space="preserve">Supplementary Methods S1.2</w:t>
      </w:r>
      <w:r>
        <w:t xml:space="preserve">: Age-from-stage derivation, truncation, and shape metric.</w:t>
      </w:r>
    </w:p>
    <w:p>
      <w:pPr>
        <w:pStyle w:val="Compact"/>
        <w:numPr>
          <w:ilvl w:val="0"/>
          <w:numId w:val="1003"/>
        </w:numPr>
      </w:pPr>
      <w:r>
        <w:rPr>
          <w:b/>
          <w:bCs/>
        </w:rPr>
        <w:t xml:space="preserve">Supplementary Methods S1.3</w:t>
      </w:r>
      <w:r>
        <w:t xml:space="preserve">: Pooled and mean MPM handling.</w:t>
      </w:r>
    </w:p>
    <w:p>
      <w:pPr>
        <w:pStyle w:val="Compact"/>
        <w:numPr>
          <w:ilvl w:val="0"/>
          <w:numId w:val="1003"/>
        </w:numPr>
      </w:pPr>
      <w:r>
        <w:rPr>
          <w:b/>
          <w:bCs/>
        </w:rPr>
        <w:t xml:space="preserve">Supplementary Methods S1.4</w:t>
      </w:r>
      <w:r>
        <w:t xml:space="preserve">: Bayesian model priors and fitting settings.</w:t>
      </w:r>
    </w:p>
    <w:p>
      <w:pPr>
        <w:pStyle w:val="Compact"/>
        <w:numPr>
          <w:ilvl w:val="0"/>
          <w:numId w:val="1003"/>
        </w:numPr>
      </w:pPr>
      <w:r>
        <w:rPr>
          <w:b/>
          <w:bCs/>
        </w:rPr>
        <w:t xml:space="preserve">Supplementary Methods S1.5</w:t>
      </w:r>
      <w:r>
        <w:t xml:space="preserve">: Variance-component summary (sampling-to-other ratio).</w:t>
      </w:r>
    </w:p>
    <w:p>
      <w:pPr>
        <w:pStyle w:val="Compact"/>
        <w:numPr>
          <w:ilvl w:val="0"/>
          <w:numId w:val="1003"/>
        </w:numPr>
      </w:pPr>
      <w:r>
        <w:rPr>
          <w:b/>
          <w:bCs/>
        </w:rPr>
        <w:t xml:space="preserve">Supplementary Methods S1.6</w:t>
      </w:r>
      <w:r>
        <w:t xml:space="preserve">: Simplified spring-temperature model (analysis 2).</w:t>
      </w:r>
    </w:p>
    <w:p>
      <w:pPr>
        <w:pStyle w:val="Compact"/>
        <w:numPr>
          <w:ilvl w:val="0"/>
          <w:numId w:val="1003"/>
        </w:numPr>
      </w:pPr>
      <w:r>
        <w:rPr>
          <w:b/>
          <w:bCs/>
        </w:rPr>
        <w:t xml:space="preserve">Supplementary Methods S1.7</w:t>
      </w:r>
      <w:r>
        <w:t xml:space="preserve">: Reporting recommendations for future MPM studies.</w:t>
      </w:r>
    </w:p>
    <w:p>
      <w:pPr>
        <w:pStyle w:val="Compact"/>
        <w:numPr>
          <w:ilvl w:val="0"/>
          <w:numId w:val="1003"/>
        </w:numPr>
      </w:pPr>
      <w:r>
        <w:rPr>
          <w:b/>
          <w:bCs/>
        </w:rPr>
        <w:t xml:space="preserve">Supplementary Methods S1.8</w:t>
      </w:r>
      <w:r>
        <w:t xml:space="preserve">: Species identities in analysis 1.</w:t>
      </w:r>
    </w:p>
    <w:p>
      <w:pPr>
        <w:pStyle w:val="Compact"/>
        <w:numPr>
          <w:ilvl w:val="0"/>
          <w:numId w:val="1003"/>
        </w:numPr>
      </w:pPr>
      <w:r>
        <w:rPr>
          <w:b/>
          <w:bCs/>
        </w:rPr>
        <w:t xml:space="preserve">Supplementary Methods S1.9</w:t>
      </w:r>
      <w:r>
        <w:t xml:space="preserve">: Multi-site extension for analysis 3 (</w:t>
      </w:r>
      <w:r>
        <w:rPr>
          <w:i/>
          <w:iCs/>
        </w:rPr>
        <w:t xml:space="preserve">Astragalus scaphoides</w:t>
      </w:r>
      <w:r>
        <w:t xml:space="preserve">).</w:t>
      </w:r>
    </w:p>
    <w:p>
      <w:pPr>
        <w:pStyle w:val="Compact"/>
        <w:numPr>
          <w:ilvl w:val="0"/>
          <w:numId w:val="1003"/>
        </w:numPr>
      </w:pPr>
      <w:r>
        <w:rPr>
          <w:b/>
          <w:bCs/>
        </w:rPr>
        <w:t xml:space="preserve">Supplementary Results S2.1</w:t>
      </w:r>
      <w:r>
        <w:t xml:space="preserve">: Sensitivity to point-estimate weighting choice (no weights vs SSD weights).</w:t>
      </w:r>
    </w:p>
    <w:p>
      <w:pPr>
        <w:pStyle w:val="Compact"/>
        <w:numPr>
          <w:ilvl w:val="0"/>
          <w:numId w:val="1003"/>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3"/>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3"/>
        </w:numPr>
      </w:pPr>
      <w:r>
        <w:rPr>
          <w:b/>
          <w:bCs/>
        </w:rPr>
        <w:t xml:space="preserve">Table S3</w:t>
      </w:r>
      <w:r>
        <w:t xml:space="preserve">: Analysis 1 posterior summary for the slope parameter (β) in the life expectancy-shape model.</w:t>
      </w:r>
    </w:p>
    <w:p>
      <w:pPr>
        <w:pStyle w:val="Compact"/>
        <w:numPr>
          <w:ilvl w:val="0"/>
          <w:numId w:val="1003"/>
        </w:numPr>
      </w:pPr>
      <w:r>
        <w:rPr>
          <w:b/>
          <w:bCs/>
        </w:rPr>
        <w:t xml:space="preserve">Table S4</w:t>
      </w:r>
      <w:r>
        <w:t xml:space="preserve">: Analysis 2 Gaussian-process regression coefficients (monthly lags) for recruitment responses to temperature anomalies.</w:t>
      </w:r>
    </w:p>
    <w:p>
      <w:pPr>
        <w:pStyle w:val="Compact"/>
        <w:numPr>
          <w:ilvl w:val="0"/>
          <w:numId w:val="1003"/>
        </w:numPr>
      </w:pPr>
      <w:r>
        <w:rPr>
          <w:b/>
          <w:bCs/>
        </w:rPr>
        <w:t xml:space="preserve">Table S5</w:t>
      </w:r>
      <w:r>
        <w:t xml:space="preserve">: Analysis 2 posterior summary for the spring-temperature coefficient.</w:t>
      </w:r>
    </w:p>
    <w:p>
      <w:pPr>
        <w:pStyle w:val="Compact"/>
        <w:numPr>
          <w:ilvl w:val="0"/>
          <w:numId w:val="1003"/>
        </w:numPr>
      </w:pPr>
      <w:r>
        <w:rPr>
          <w:b/>
          <w:bCs/>
        </w:rPr>
        <w:t xml:space="preserve">Table S6</w:t>
      </w:r>
      <w:r>
        <w:t xml:space="preserve">: Primary studies represented in the analysis subset, as identified in COMPADRE.</w:t>
      </w:r>
    </w:p>
    <w:p>
      <w:pPr>
        <w:pStyle w:val="Compact"/>
        <w:numPr>
          <w:ilvl w:val="0"/>
          <w:numId w:val="1003"/>
        </w:numPr>
      </w:pPr>
      <w:r>
        <w:rPr>
          <w:b/>
          <w:bCs/>
        </w:rPr>
        <w:t xml:space="preserve">Table S7</w:t>
      </w:r>
      <w:r>
        <w:t xml:space="preserve">: Analysis 3 site coverage and spring-temperature effect summaries for</w:t>
      </w:r>
      <w:r>
        <w:t xml:space="preserve"> </w:t>
      </w:r>
      <w:r>
        <w:rPr>
          <w:i/>
          <w:iCs/>
        </w:rPr>
        <w:t xml:space="preserve">Astragalus scaphoides</w:t>
      </w:r>
      <w:r>
        <w:t xml:space="preserve">.</w:t>
      </w:r>
    </w:p>
    <w:p>
      <w:pPr>
        <w:pStyle w:val="Compact"/>
        <w:numPr>
          <w:ilvl w:val="0"/>
          <w:numId w:val="1003"/>
        </w:numPr>
      </w:pPr>
      <w:r>
        <w:rPr>
          <w:b/>
          <w:bCs/>
        </w:rPr>
        <w:t xml:space="preserve">Table S8</w:t>
      </w:r>
      <w:r>
        <w:t xml:space="preserve">: Analysis 3 posterior summary for the spring-temperature coefficient by site and model formulation.</w:t>
      </w:r>
    </w:p>
    <w:p>
      <w:pPr>
        <w:pStyle w:val="Compact"/>
        <w:numPr>
          <w:ilvl w:val="0"/>
          <w:numId w:val="1003"/>
        </w:numPr>
      </w:pPr>
      <w:r>
        <w:rPr>
          <w:b/>
          <w:bCs/>
        </w:rPr>
        <w:t xml:space="preserve">Table S9</w:t>
      </w:r>
      <w:r>
        <w:t xml:space="preserve">: Analysis 2 stage-specific survival-temperature coefficients under no weights and SSD weights.</w:t>
      </w:r>
    </w:p>
    <w:p>
      <w:pPr>
        <w:pStyle w:val="Compact"/>
        <w:numPr>
          <w:ilvl w:val="0"/>
          <w:numId w:val="1003"/>
        </w:numPr>
      </w:pPr>
      <w:r>
        <w:rPr>
          <w:b/>
          <w:bCs/>
        </w:rPr>
        <w:t xml:space="preserve">Table S10</w:t>
      </w:r>
      <w:r>
        <w:t xml:space="preserve">: Analysis 3 stage-specific survival-temperature coefficients under no weights and SSD weights.</w:t>
      </w:r>
    </w:p>
    <w:p>
      <w:pPr>
        <w:pStyle w:val="Compact"/>
        <w:numPr>
          <w:ilvl w:val="0"/>
          <w:numId w:val="1003"/>
        </w:numPr>
      </w:pPr>
      <w:r>
        <w:rPr>
          <w:b/>
          <w:bCs/>
        </w:rPr>
        <w:t xml:space="preserve">Figure S1</w:t>
      </w:r>
      <w:r>
        <w:t xml:space="preserve">: Boundary-estimate diagnostic.</w:t>
      </w:r>
    </w:p>
    <w:p>
      <w:pPr>
        <w:pStyle w:val="Compact"/>
        <w:numPr>
          <w:ilvl w:val="0"/>
          <w:numId w:val="1003"/>
        </w:numPr>
      </w:pPr>
      <w:r>
        <w:rPr>
          <w:b/>
          <w:bCs/>
        </w:rPr>
        <w:t xml:space="preserve">Figure S2</w:t>
      </w:r>
      <w:r>
        <w:t xml:space="preserve">: Illustration of survivorship trajectories under boundary survival transitions.</w:t>
      </w:r>
    </w:p>
    <w:p>
      <w:pPr>
        <w:pStyle w:val="Compact"/>
        <w:numPr>
          <w:ilvl w:val="0"/>
          <w:numId w:val="1003"/>
        </w:numPr>
      </w:pPr>
      <w:r>
        <w:rPr>
          <w:b/>
          <w:bCs/>
        </w:rPr>
        <w:t xml:space="preserve">Figure S3</w:t>
      </w:r>
      <w:r>
        <w:t xml:space="preserve">: Analysis 3 multisite climate-demography comparison for</w:t>
      </w:r>
      <w:r>
        <w:t xml:space="preserve"> </w:t>
      </w:r>
      <w:r>
        <w:rPr>
          <w:i/>
          <w:iCs/>
        </w:rPr>
        <w:t xml:space="preserve">Astragalus scaphoides</w:t>
      </w:r>
      <w:r>
        <w:t xml:space="preserve">.</w:t>
      </w:r>
    </w:p>
    <w:p>
      <w:r>
        <w:br w:type="page"/>
      </w:r>
    </w:p>
    <w:bookmarkEnd w:id="48"/>
    <w:bookmarkStart w:id="54"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p>
    <w:p>
      <w:pPr>
        <w:pStyle w:val="BodyText"/>
      </w:pPr>
      <w:r>
        <w:t xml:space="preserve">Bailey, R. T. (1997) Estimation from zero-failure data.</w:t>
      </w:r>
      <w:r>
        <w:t xml:space="preserve"> </w:t>
      </w:r>
      <w:r>
        <w:rPr>
          <w:i/>
          <w:iCs/>
        </w:rPr>
        <w:t xml:space="preserve">Risk Analysis</w:t>
      </w:r>
      <w:r>
        <w:t xml:space="preserve">, 17, 375-380.</w:t>
      </w:r>
    </w:p>
    <w:p>
      <w:pPr>
        <w:pStyle w:val="BodyText"/>
      </w:pPr>
      <w:r>
        <w:t xml:space="preserve">Baudisch, A. (2011) The pace and shape of ageing.</w:t>
      </w:r>
      <w:r>
        <w:t xml:space="preserve"> </w:t>
      </w:r>
      <w:r>
        <w:rPr>
          <w:i/>
          <w:iCs/>
        </w:rPr>
        <w:t xml:space="preserve">Methods in Ecology and Evolution</w:t>
      </w:r>
      <w:r>
        <w:t xml:space="preserve">, 2, 375-382.</w:t>
      </w:r>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p>
    <w:p>
      <w:pPr>
        <w:pStyle w:val="BodyText"/>
      </w:pPr>
      <w:r>
        <w:t xml:space="preserve">Caswell, H. (2001) Matrix population models: construction, analysis, and interpretation,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49">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50">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p>
    <w:p>
      <w:pPr>
        <w:pStyle w:val="BodyText"/>
      </w:pPr>
      <w:r>
        <w:t xml:space="preserve">McElreath, R. (2020) Statistical rethinking: A Bayesian course with examples in R and Stan, 2nd ed. Chapman and Hall/CRC.</w:t>
      </w:r>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p>
    <w:p>
      <w:pPr>
        <w:pStyle w:val="BodyText"/>
      </w:pPr>
      <w:r>
        <w:t xml:space="preserve">Myhrvold, N. P., Baldridge, E., Chan, B., Sivam, D., Freeman, D. L., &amp; Ernest, S. M. (2015) An amniote life-history database to perform comparative analyses with birds, mammals, and reptiles.</w:t>
      </w:r>
      <w:r>
        <w:t xml:space="preserve"> </w:t>
      </w:r>
      <w:r>
        <w:rPr>
          <w:i/>
          <w:iCs/>
        </w:rPr>
        <w:t xml:space="preserve">Ecology</w:t>
      </w:r>
      <w:r>
        <w:t xml:space="preserve">, 96, 3109-3109.</w:t>
      </w:r>
    </w:p>
    <w:p>
      <w:pPr>
        <w:pStyle w:val="BodyText"/>
      </w:pPr>
      <w:r>
        <w:t xml:space="preserve">PRISM Group, Oregon State University (2026) PRISM Climate Data.</w:t>
      </w:r>
      <w:r>
        <w:t xml:space="preserve"> </w:t>
      </w:r>
      <w:hyperlink r:id="rId51">
        <w:r>
          <w:rPr>
            <w:rStyle w:val="Hyperlink"/>
          </w:rPr>
          <w:t xml:space="preserve">https://prism.oregonstate.edu</w:t>
        </w:r>
      </w:hyperlink>
      <w:r>
        <w:t xml:space="preserve">. Data created 04 Feb 2026, accessed 28 Feb 2026.</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p>
    <w:p>
      <w:pPr>
        <w:pStyle w:val="BodyText"/>
      </w:pPr>
      <w:r>
        <w:t xml:space="preserve">Simmonds, E. G., &amp;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52">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53">
        <w:r>
          <w:rPr>
            <w:rStyle w:val="Hyperlink"/>
          </w:rPr>
          <w:t xml:space="preserve">https://mc-stan.org/</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p>
    <w:p>
      <w:pPr>
        <w:pStyle w:val="BodyText"/>
      </w:pPr>
      <w:r>
        <w:t xml:space="preserve">Wrycza, T. F., Missov, T. I., and Baudisch, A. (2015) Quantifying the shape of aging.</w:t>
      </w:r>
      <w:r>
        <w:t xml:space="preserve"> </w:t>
      </w:r>
      <w:r>
        <w:rPr>
          <w:i/>
          <w:iCs/>
        </w:rPr>
        <w:t xml:space="preserve">PloS ONE</w:t>
      </w:r>
      <w:r>
        <w:t xml:space="preserve">, 10, e0119163.</w:t>
      </w:r>
    </w:p>
    <w:p>
      <w:r>
        <w:br w:type="page"/>
      </w:r>
    </w:p>
    <w:bookmarkEnd w:id="54"/>
    <w:bookmarkStart w:id="56" w:name="tables"/>
    <w:p>
      <w:pPr>
        <w:pStyle w:val="Heading1"/>
      </w:pPr>
      <w:r>
        <w:t xml:space="preserve">Tables</w:t>
      </w:r>
    </w:p>
    <w:p>
      <w:pPr>
        <w:pStyle w:val="TableCaption"/>
      </w:pPr>
      <w:bookmarkStart w:id="55" w:name="tab:table-case1-var"/>
      <w:bookmarkEnd w:id="55"/>
      <w:r>
        <w:t xml:space="preserve">Table 1:</w:t>
      </w:r>
      <w:r>
        <w:t xml:space="preserve"> </w:t>
      </w:r>
      <w:r>
        <w:t xml:space="preserve">Sampling-to-other variance ratios for key demographic parameters in analysis 1. Ratios greater than 1 indicate that variance attributable to transition-rate sampling uncertainty exceeds residual biological variance across population-level entries (including both among-population and among-species variation). The table shows that this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3272"/>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3.28</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1.06</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r>
      <w:tr>
        <w:trPr>
          <w:trHeight w:val="619"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w:t>
            </w:r>
          </w:p>
        </w:tc>
      </w:tr>
    </w:tbl>
    <w:p>
      <w:r>
        <w:br w:type="page"/>
      </w:r>
    </w:p>
    <w:bookmarkEnd w:id="56"/>
    <w:bookmarkStart w:id="81" w:name="figures"/>
    <w:p>
      <w:pPr>
        <w:pStyle w:val="Heading1"/>
      </w:pPr>
      <w:r>
        <w:t xml:space="preserve">Figures</w:t>
      </w:r>
    </w:p>
    <w:p>
      <w:pPr>
        <w:pStyle w:val="CaptionedFigure"/>
      </w:pPr>
      <w:r>
        <w:drawing>
          <wp:inline>
            <wp:extent cx="5943600" cy="1980267"/>
            <wp:effectExtent b="0" l="0" r="0" t="0"/>
            <wp:docPr descr="Figure 1: Sampling distributions of transition rates for the focal single-MPM example (Agrimonia eupatoria, population B), showing transition rates as reported in COMPADRE (A), the underlying transition counts used for estimation (B), and bootstrap-based sampling distributions (C). Together, these panels show that several matrix elements are weakly estimated from finite samples." title="" id="58" name="Picture"/>
            <a:graphic>
              <a:graphicData uri="http://schemas.openxmlformats.org/drawingml/2006/picture">
                <pic:pic>
                  <pic:nvPicPr>
                    <pic:cNvPr descr="../../figures/Figure_1_transition_rates_single_mpm.png" id="59" name="Picture"/>
                    <pic:cNvPicPr>
                      <a:picLocks noChangeArrowheads="1" noChangeAspect="1"/>
                    </pic:cNvPicPr>
                  </pic:nvPicPr>
                  <pic:blipFill>
                    <a:blip r:embed="rId57"/>
                    <a:stretch>
                      <a:fillRect/>
                    </a:stretch>
                  </pic:blipFill>
                  <pic:spPr bwMode="auto">
                    <a:xfrm>
                      <a:off x="0" y="0"/>
                      <a:ext cx="5943600" cy="1980267"/>
                    </a:xfrm>
                    <a:prstGeom prst="rect">
                      <a:avLst/>
                    </a:prstGeom>
                    <a:noFill/>
                    <a:ln w="9525">
                      <a:noFill/>
                      <a:headEnd/>
                      <a:tailEnd/>
                    </a:ln>
                  </pic:spPr>
                </pic:pic>
              </a:graphicData>
            </a:graphic>
          </wp:inline>
        </w:drawing>
      </w:r>
    </w:p>
    <w:p>
      <w:pPr>
        <w:pStyle w:val="ImageCaption"/>
      </w:pPr>
      <w:bookmarkStart w:id="60" w:name="fig:fig-main-1a"/>
      <w:bookmarkEnd w:id="60"/>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bootstrap-based sampling distributions (C). Together, these panels show that several matrix elements are weakly estimated from finite samples.</w:t>
      </w:r>
    </w:p>
    <w:p>
      <w:r>
        <w:br w:type="page"/>
      </w:r>
    </w:p>
    <w:p>
      <w:pPr>
        <w:pStyle w:val="CaptionedFigure"/>
      </w:pPr>
      <w:r>
        <w:drawing>
          <wp:inline>
            <wp:extent cx="5943600" cy="2444567"/>
            <wp:effectExtent b="0" l="0" r="0" t="0"/>
            <wp:docPr descr="Figure 2: Sampling distributions of demographic quantities derived from the focal single MPM, including population growth rate (λ), damping ratio (ρ), generation time (T), and life expectancy (l₀). Uncertainty in transition rates propagates to substantial uncertainty in these derived parameters, with the largest spread in quantities that depend on long-term survivorship and reproduction." title="" id="62" name="Picture"/>
            <a:graphic>
              <a:graphicData uri="http://schemas.openxmlformats.org/drawingml/2006/picture">
                <pic:pic>
                  <pic:nvPicPr>
                    <pic:cNvPr descr="../../figures/Figure_2_derived_parameters_single_mpm.png" id="63" name="Picture"/>
                    <pic:cNvPicPr>
                      <a:picLocks noChangeArrowheads="1" noChangeAspect="1"/>
                    </pic:cNvPicPr>
                  </pic:nvPicPr>
                  <pic:blipFill>
                    <a:blip r:embed="rId61"/>
                    <a:stretch>
                      <a:fillRect/>
                    </a:stretch>
                  </pic:blipFill>
                  <pic:spPr bwMode="auto">
                    <a:xfrm>
                      <a:off x="0" y="0"/>
                      <a:ext cx="5943600" cy="2444567"/>
                    </a:xfrm>
                    <a:prstGeom prst="rect">
                      <a:avLst/>
                    </a:prstGeom>
                    <a:noFill/>
                    <a:ln w="9525">
                      <a:noFill/>
                      <a:headEnd/>
                      <a:tailEnd/>
                    </a:ln>
                  </pic:spPr>
                </pic:pic>
              </a:graphicData>
            </a:graphic>
          </wp:inline>
        </w:drawing>
      </w:r>
    </w:p>
    <w:p>
      <w:pPr>
        <w:pStyle w:val="ImageCaption"/>
      </w:pPr>
      <w:bookmarkStart w:id="64" w:name="fig:fig-main-1b"/>
      <w:bookmarkEnd w:id="64"/>
      <w:r>
        <w:t xml:space="preserve">Figure 2: Sampling distributions of demographic quantities derived from the focal single MPM, including population growth rate (λ), damping ratio (ρ), generation time (T), and life expectancy (l₀).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In each panel, distributions are shown for estimates derived directly from matrix point estimates and for uncertainty-aware summaries, showing systematic shifts and shrinkage in extreme values when sampling uncertainty is propagated." title="" id="66" name="Picture"/>
            <a:graphic>
              <a:graphicData uri="http://schemas.openxmlformats.org/drawingml/2006/picture">
                <pic:pic>
                  <pic:nvPicPr>
                    <pic:cNvPr descr="../../figures/Figure_3_analysis1_point_vs_sampling_distributions.png" id="67" name="Picture"/>
                    <pic:cNvPicPr>
                      <a:picLocks noChangeArrowheads="1" noChangeAspect="1"/>
                    </pic:cNvPicPr>
                  </pic:nvPicPr>
                  <pic:blipFill>
                    <a:blip r:embed="rId65"/>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68" w:name="fig:fig-main-2"/>
      <w:bookmarkEnd w:id="68"/>
      <w:r>
        <w:t xml:space="preserve">Figure 3: Analysis 1 comparison of point estimates versus sampling-distribution summaries for population-level life expectancy and shape. Panel A shows mortality-trajectory shape, and Panel B shows mature life expectancy. In each panel, distributions are shown for estimates derived directly from matrix point estimates and for uncertainty-aware summaries, showing systematic shifts and shrinkage in extreme values when sampling uncertainty is propagated.</w:t>
      </w:r>
    </w:p>
    <w:p>
      <w:r>
        <w:br w:type="page"/>
      </w:r>
    </w:p>
    <w:p>
      <w:pPr>
        <w:pStyle w:val="CaptionedFigure"/>
      </w:pPr>
      <w:r>
        <w:drawing>
          <wp:inline>
            <wp:extent cx="5943600" cy="2939634"/>
            <wp:effectExtent b="0" l="0" r="0" t="0"/>
            <wp:docPr descr="Figure 4: Analysis 1 relationship between life expectancy and shape under models with and without sampling uncertainty propagation. In panel A, solid points show the point-estimate model. In the uncertainty-aware model, faint solid points show those same point estimates for reference, while crosses are centred on sampling-distribution medians with horizontal and vertical bars showing 95% intervals. The displacement between faint points and crosses indicates that propagated sampling distributions can shift central tendency away from plug-in point estimates, consistent with the offsets between dashed lines and density peaks in Figure 3. Panel B shows posterior distributions for the slope parameter (β). This figure shows that accounting for sampling uncertainty shifts posterior support towards a positive association." title="" id="70" name="Picture"/>
            <a:graphic>
              <a:graphicData uri="http://schemas.openxmlformats.org/drawingml/2006/picture">
                <pic:pic>
                  <pic:nvPicPr>
                    <pic:cNvPr descr="../../figures/Figure_4_analysis1_life_expectancy_shape_relationship.png" id="71" name="Picture"/>
                    <pic:cNvPicPr>
                      <a:picLocks noChangeArrowheads="1" noChangeAspect="1"/>
                    </pic:cNvPicPr>
                  </pic:nvPicPr>
                  <pic:blipFill>
                    <a:blip r:embed="rId69"/>
                    <a:stretch>
                      <a:fillRect/>
                    </a:stretch>
                  </pic:blipFill>
                  <pic:spPr bwMode="auto">
                    <a:xfrm>
                      <a:off x="0" y="0"/>
                      <a:ext cx="5943600" cy="2939634"/>
                    </a:xfrm>
                    <a:prstGeom prst="rect">
                      <a:avLst/>
                    </a:prstGeom>
                    <a:noFill/>
                    <a:ln w="9525">
                      <a:noFill/>
                      <a:headEnd/>
                      <a:tailEnd/>
                    </a:ln>
                  </pic:spPr>
                </pic:pic>
              </a:graphicData>
            </a:graphic>
          </wp:inline>
        </w:drawing>
      </w:r>
    </w:p>
    <w:p>
      <w:pPr>
        <w:pStyle w:val="ImageCaption"/>
      </w:pPr>
      <w:bookmarkStart w:id="72" w:name="fig:fig-main-3"/>
      <w:bookmarkEnd w:id="72"/>
      <w:r>
        <w:t xml:space="preserve">Figure 4: Analysis 1 relationship between life expectancy and shape under models with and without sampling uncertainty propagation. In panel A, solid points show the point-estimate model. In the uncertainty-aware model, faint solid points show those same point estimates for reference, while crosses are centred on sampling-distribution medians with horizontal and vertical bars showing 95% intervals. The displacement between faint points and crosses indicates that propagated sampling distributions can shift central tendency away from plug-in point estimates, consistent with the offsets between dashed lines and density peaks in Figure</w:t>
      </w:r>
      <w:r>
        <w:t xml:space="preserve"> </w:t>
      </w:r>
      <w:r>
        <w:t xml:space="preserve">3</w:t>
      </w:r>
      <w:r>
        <w:t xml:space="preserve">. Panel B shows posterior distributions for the slope parameter (β). This figure shows that accounting for sampling uncertainty shifts posterior support towards a positive association.</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and uncertainty-aware formulations, with similar posterior coefficient estimates and interval widths. Panel C shows stage-specific survival-temperature coefficients where estimable (stages 2-3). Open circles in panel C are descriptive markers without interval bars for non-estimable stages: stage 1 shows mean survival across years, and stage 4 shows survival = 1 (100% survival in all usable years)." title="" id="74" name="Picture"/>
            <a:graphic>
              <a:graphicData uri="http://schemas.openxmlformats.org/drawingml/2006/picture">
                <pic:pic>
                  <pic:nvPicPr>
                    <pic:cNvPr descr="../../figures/Figure_5_analysis2_climate_effects_recruitment.png" id="75" name="Picture"/>
                    <pic:cNvPicPr>
                      <a:picLocks noChangeArrowheads="1" noChangeAspect="1"/>
                    </pic:cNvPicPr>
                  </pic:nvPicPr>
                  <pic:blipFill>
                    <a:blip r:embed="rId73"/>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76" w:name="fig:fig-main-4"/>
      <w:bookmarkEnd w:id="76"/>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and uncertainty-aware formulations, with similar posterior coefficient estimates and interval widths. Panel C shows stage-specific survival-temperature coefficients where estimable (stages 2-3). Open circles in panel C are descriptive markers without interval bars for non-estimable stages: stage 1 shows mean survival across years, and stage 4 shows survival = 1 (100% survival in all usable years).</w:t>
      </w:r>
    </w:p>
    <w:p>
      <w:r>
        <w:br w:type="page"/>
      </w:r>
    </w:p>
    <w:p>
      <w:pPr>
        <w:pStyle w:val="CaptionedFigure"/>
      </w:pPr>
      <w:r>
        <w:drawing>
          <wp:inline>
            <wp:extent cx="5943600" cy="4293635"/>
            <wp:effectExtent b="0" l="0" r="0" t="0"/>
            <wp:docPr descr="Figure 6: Analysis 3 multisite climate-demography comparison for Astragalus scaphoides. Panel A (Haynes Creek), panel B (McDevitt Creek), and panel C (Sheep Corral Gulch) each show monthly lag coefficients, recruitment fits, and stage-specific survival coefficients for point-estimate and sampling-uncertainty formulations. Across sites, the two formulations remain closely aligned, showing that among-site ecological differences are larger than differences induced by uncertainty propagation." title="" id="78" name="Picture"/>
            <a:graphic>
              <a:graphicData uri="http://schemas.openxmlformats.org/drawingml/2006/picture">
                <pic:pic>
                  <pic:nvPicPr>
                    <pic:cNvPr descr="../../figures/Figure_6_analysis3_climate_effects_multisite.png" id="79" name="Picture"/>
                    <pic:cNvPicPr>
                      <a:picLocks noChangeArrowheads="1" noChangeAspect="1"/>
                    </pic:cNvPicPr>
                  </pic:nvPicPr>
                  <pic:blipFill>
                    <a:blip r:embed="rId77"/>
                    <a:stretch>
                      <a:fillRect/>
                    </a:stretch>
                  </pic:blipFill>
                  <pic:spPr bwMode="auto">
                    <a:xfrm>
                      <a:off x="0" y="0"/>
                      <a:ext cx="5943600" cy="4293635"/>
                    </a:xfrm>
                    <a:prstGeom prst="rect">
                      <a:avLst/>
                    </a:prstGeom>
                    <a:noFill/>
                    <a:ln w="9525">
                      <a:noFill/>
                      <a:headEnd/>
                      <a:tailEnd/>
                    </a:ln>
                  </pic:spPr>
                </pic:pic>
              </a:graphicData>
            </a:graphic>
          </wp:inline>
        </w:drawing>
      </w:r>
    </w:p>
    <w:p>
      <w:pPr>
        <w:pStyle w:val="ImageCaption"/>
      </w:pPr>
      <w:bookmarkStart w:id="80" w:name="fig:fig-main-5"/>
      <w:bookmarkEnd w:id="80"/>
      <w:r>
        <w:t xml:space="preserve">Figure 6: Analysis 3 multisite climate-demography comparison for</w:t>
      </w:r>
      <w:r>
        <w:t xml:space="preserve"> </w:t>
      </w:r>
      <w:r>
        <w:rPr>
          <w:i/>
          <w:iCs/>
        </w:rPr>
        <w:t xml:space="preserve">Astragalus scaphoides</w:t>
      </w:r>
      <w:r>
        <w:t xml:space="preserve">. Panel A (Haynes Creek), panel B (McDevitt Creek), and panel C (Sheep Corral Gulch) each show monthly lag coefficients, recruitment fits, and stage-specific survival coefficients for point-estimate and sampling-uncertainty formulations. Across sites, the two formulations remain closely aligned, showing that among-site ecological differences are larger than differences induced by uncertainty propagation.</w:t>
      </w:r>
    </w:p>
    <w:bookmarkEnd w:id="81"/>
    <w:sectPr w:rsidR="00445ECF" w:rsidRPr="000A5324">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A5324"/>
    <w:rsid w:val="00293780"/>
    <w:rsid w:val="00445ECF"/>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93780"/>
    <w:pPr>
      <w:keepNext/>
      <w:keepLines/>
    </w:pPr>
    <w:rPr>
      <w:b w:val="0"/>
      <w:bCs w:val="0"/>
      <w:sz w:val="24"/>
      <w:szCs w:val="24"/>
    </w:rPr>
  </w:style>
  <w:style w:styleId="Date" w:type="paragraph">
    <w:name w:val="Date"/>
    <w:basedOn w:val="Title"/>
    <w:next w:val="BodyText"/>
    <w:qFormat/>
    <w:rsid w:val="00293780"/>
    <w:pPr>
      <w:keepNext/>
      <w:keepLines/>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hyperlink" Id="rId49" Target="https://doi.org/10.1002/joc.1688" TargetMode="External" /><Relationship Type="http://schemas.openxmlformats.org/officeDocument/2006/relationships/hyperlink" Id="rId50" Target="https://doi.org/10.1038/s41559-019-0938-7" TargetMode="External" /><Relationship Type="http://schemas.openxmlformats.org/officeDocument/2006/relationships/hyperlink" Id="rId52" Target="https://doi.org/10.1111/2041-210X.14276" TargetMode="External" /><Relationship Type="http://schemas.openxmlformats.org/officeDocument/2006/relationships/hyperlink" Id="rId53" Target="https://mc-stan.org/" TargetMode="External" /><Relationship Type="http://schemas.openxmlformats.org/officeDocument/2006/relationships/hyperlink" Id="rId51" Target="https://prism.oregonstate.edu" TargetMode="External" /><Relationship Type="http://schemas.openxmlformats.org/officeDocument/2006/relationships/hyperlink" Id="rId22"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02/joc.1688" TargetMode="External" /><Relationship Type="http://schemas.openxmlformats.org/officeDocument/2006/relationships/hyperlink" Id="rId50" Target="https://doi.org/10.1038/s41559-019-0938-7" TargetMode="External" /><Relationship Type="http://schemas.openxmlformats.org/officeDocument/2006/relationships/hyperlink" Id="rId52" Target="https://doi.org/10.1111/2041-210X.14276" TargetMode="External" /><Relationship Type="http://schemas.openxmlformats.org/officeDocument/2006/relationships/hyperlink" Id="rId53" Target="https://mc-stan.org/" TargetMode="External" /><Relationship Type="http://schemas.openxmlformats.org/officeDocument/2006/relationships/hyperlink" Id="rId51" Target="https://prism.oregonstate.edu" TargetMode="External" /><Relationship Type="http://schemas.openxmlformats.org/officeDocument/2006/relationships/hyperlink" Id="rId22"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2026-03-01T16:20:06Z</dcterms:created>
  <dcterms:modified xsi:type="dcterms:W3CDTF">2026-03-01T16:20:06Z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