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supplementary-methods"/>
    <w:p>
      <w:pPr>
        <w:pStyle w:val="Heading1"/>
      </w:pPr>
      <w:r>
        <w:t xml:space="preserve">Supplementary Methods</w:t>
      </w:r>
    </w:p>
    <w:bookmarkStart w:id="20"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20"/>
    <w:bookmarkStart w:id="21"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21"/>
    <w:bookmarkStart w:id="22" w:name="s1.3-pooled-and-mean-mpm-handling"/>
    <w:p>
      <w:pPr>
        <w:pStyle w:val="Heading2"/>
      </w:pPr>
      <w:r>
        <w:t xml:space="preserve">S1.3 Pooled and mean MPM handling</w:t>
      </w:r>
    </w:p>
    <w:p>
      <w:pPr>
        <w:pStyle w:val="FirstParagraph"/>
      </w:pPr>
      <w:r>
        <w:t xml:space="preserve">Where population-level pooled MPMs were available, they were used; otherwise, mean MPMs were used.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22"/>
    <w:bookmarkStart w:id="23"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23"/>
    <w:bookmarkStart w:id="24"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Sup>
                <m:e>
                  <m:r>
                    <m:t>σ</m:t>
                  </m:r>
                </m:e>
                <m:sub>
                  <m:r>
                    <m:rPr>
                      <m:nor/>
                      <m:sty m:val="p"/>
                    </m:rPr>
                    <m:t>sampling</m:t>
                  </m:r>
                </m:sub>
                <m:sup>
                  <m:r>
                    <m:t>2</m:t>
                  </m:r>
                </m:sup>
              </m:sSubSup>
            </m:num>
            <m:den>
              <m:sSubSup>
                <m:e>
                  <m:r>
                    <m:t>σ</m:t>
                  </m:r>
                </m:e>
                <m:sub>
                  <m:r>
                    <m:rPr>
                      <m:nor/>
                      <m:sty m:val="p"/>
                    </m:rPr>
                    <m:t>residual</m:t>
                  </m:r>
                </m:sub>
                <m:sup>
                  <m:r>
                    <m:t>2</m:t>
                  </m:r>
                </m:sup>
              </m:sSubSup>
            </m:den>
          </m:f>
          <m:r>
            <m:t>  </m:t>
          </m:r>
          <m:d>
            <m:dPr>
              <m:begChr m:val="("/>
              <m:sepChr m:val=""/>
              <m:endChr m:val=")"/>
              <m:grow/>
            </m:dPr>
            <m:e>
              <m:r>
                <m:t>1</m:t>
              </m:r>
            </m:e>
          </m:d>
        </m:oMath>
      </m:oMathPara>
    </w:p>
    <w:p>
      <w:pPr>
        <w:pStyle w:val="FirstParagraph"/>
      </w:pPr>
      <w:r>
        <w:t xml:space="preserve">Ratios above 1 indicate that sampling uncertainty exceeds residual biological variation for that parameter.</w:t>
      </w:r>
    </w:p>
    <w:bookmarkEnd w:id="24"/>
    <w:bookmarkStart w:id="25"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25"/>
    <w:bookmarkStart w:id="26"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6"/>
    <w:bookmarkStart w:id="27" w:name="X673af67ed43224aff21550b61d48c598bc599d3"/>
    <w:p>
      <w:pPr>
        <w:pStyle w:val="Heading2"/>
      </w:pPr>
      <w:r>
        <w:t xml:space="preserve">S1.8 Study and species identities in analysis 1</w:t>
      </w:r>
    </w:p>
    <w:p>
      <w:pPr>
        <w:pStyle w:val="FirstParagraph"/>
      </w:pPr>
      <w:r>
        <w:t xml:space="preserve">Analysis 1 used 67 population-level entries representing 26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27"/>
    <w:bookmarkStart w:id="28"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stable-stage-distribution (SSD) weighting derived from each annual</w:t>
      </w:r>
      <w:r>
        <w:t xml:space="preserve"> </w:t>
      </w:r>
      <m:oMath>
        <m:r>
          <m:t>U</m:t>
        </m:r>
      </m:oMath>
      <w:r>
        <w:t xml:space="preserve"> </w:t>
      </w:r>
      <w:r>
        <w:t xml:space="preserve">matrix.</w:t>
      </w:r>
    </w:p>
    <w:bookmarkEnd w:id="28"/>
    <w:bookmarkEnd w:id="29"/>
    <w:bookmarkStart w:id="31" w:name="supplementary-results"/>
    <w:p>
      <w:pPr>
        <w:pStyle w:val="Heading1"/>
      </w:pPr>
      <w:r>
        <w:t xml:space="preserve">Supplementary Results</w:t>
      </w:r>
    </w:p>
    <w:bookmarkStart w:id="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0.311, and interval-width differences ranged from -0.347 to 0.366 (Table S10). These sensitivity checks show how weighting assumptions alter point-estimate uncertainty when true stage sample sizes are unavailable.</w:t>
      </w:r>
    </w:p>
    <w:bookmarkEnd w:id="30"/>
    <w:bookmarkEnd w:id="31"/>
    <w:bookmarkStart w:id="32"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0.646</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152"/>
        <w:gridCol w:w="2736"/>
        <w:gridCol w:w="2592"/>
        <w:gridCol w:w="388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thesis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Lupinus_tidestromii</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Cons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Khaya_senegalensis</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Orchis_purpurea</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Dicorynia_guianensis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Geonoma_schottiana</w:t>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Dactylorhiza_lapponica</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Toräng; Ehrlén; Ågren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Oecologia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10.1007/s00442-009-1552-1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Primula_farinosa_4</w:t>
            </w:r>
          </w:p>
        </w:tc>
      </w:tr>
      <w:tr>
        <w:trPr>
          <w:trHeight w:val="62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Csergő; Molnár;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Saponaria_bellidifolia</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Nat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Vella_pseudocytisus_subsp._paui_2</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Evju; Halvorsen; Rydgren; Austrheim; Mysterud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10.1007/s11258-011-9906-2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Geranium_sylvaticum_2</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Trop Cons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10.1177/19400829110040010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Lepidocaryum_tenue</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 Monog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Microberlinia_bisulcata; Tetraberlinia_bifoliolata</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Cypripedium_fasciculatum</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Eryngium_alpinum</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Liatris_scariosa</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Cirsium_pitcheri_4</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Boswellia_papyrifera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Trollius_laxus</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Phyllanthus_emblica_2; Phyllanthus_indofischeri</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Burns; Pardini; Schutzenhofer; Chung; Seidler;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10.1890/12-1310.1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Iris_germanica; Lonicera_maackii; Rosa_multiflora; Taraxacum_erythrospermum; Taraxacum_officinale_2</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Pityopsis_aspera</w:t>
            </w:r>
          </w:p>
        </w:tc>
      </w:tr>
      <w:tr>
        <w:trPr>
          <w:trHeight w:val="61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Maines; Knochel; Seastedt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10.1890/ES13-00094.1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Centaurea_stoebe_2</w:t>
            </w:r>
          </w:p>
        </w:tc>
      </w:tr>
      <w:tr>
        <w:trPr>
          <w:trHeight w:val="618"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Miscanthus_giganteus</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Lantana_camara</w:t>
            </w:r>
          </w:p>
        </w:tc>
      </w:tr>
      <w:tr>
        <w:trPr>
          <w:trHeight w:val="61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Villellas; Morris;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Plantago_coronopus_2</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Trollius_laxus_2</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Himatanthus_drasticus</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Festuca_eskia</w:t>
            </w:r>
          </w:p>
        </w:tc>
      </w:tr>
      <w:tr>
        <w:trPr>
          <w:trHeight w:val="619"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Haridas; Keeler; Tenhumberg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10.1890/13-1984.1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Opuntia_macrorhiza_2</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609"/>
        <w:gridCol w:w="2086"/>
        <w:gridCol w:w="1927"/>
        <w:gridCol w:w="2221"/>
        <w:gridCol w:w="2624"/>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0.375</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0.273</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0.113</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0.351</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0.645</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0.742</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-0.192</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0.056</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0.281</w:t>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0.489</w:t>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0.598</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0.433</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0.279</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0.243</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0.567</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0.436</w:t>
            </w:r>
          </w:p>
        </w:tc>
      </w:tr>
    </w:tbl>
    <w:p>
      <w:r>
        <w:br w:type="page"/>
      </w:r>
    </w:p>
    <w:bookmarkEnd w:id="32"/>
    <w:bookmarkStart w:id="45" w:name="supplementary-figures"/>
    <w:p>
      <w:pPr>
        <w:pStyle w:val="Heading1"/>
      </w:pPr>
      <w:r>
        <w:t xml:space="preserve">Supplementary Figures</w:t>
      </w:r>
    </w:p>
    <w:p>
      <w:pPr>
        <w:pStyle w:val="CaptionedFigure"/>
      </w:pPr>
      <w:r>
        <w:drawing>
          <wp:inline>
            <wp:extent cx="5734113" cy="3669832"/>
            <wp:effectExtent b="0" l="0" r="0" t="0"/>
            <wp:docPr descr="Figure 1: Boundary-estimate diagnostic. When stage-specific survival estimates are near 0 or 1, derived-parameter sampling distributions can be displaced relative to point estimates, indicating potential inferential fragility." title="" id="34" name="Picture"/>
            <a:graphic>
              <a:graphicData uri="http://schemas.openxmlformats.org/drawingml/2006/picture">
                <pic:pic>
                  <pic:nvPicPr>
                    <pic:cNvPr descr="../../figures/Figure_S1_boundary_estimate_diagnostic.png" id="35" name="Picture"/>
                    <pic:cNvPicPr>
                      <a:picLocks noChangeArrowheads="1" noChangeAspect="1"/>
                    </pic:cNvPicPr>
                  </pic:nvPicPr>
                  <pic:blipFill>
                    <a:blip r:embed="rId33"/>
                    <a:stretch>
                      <a:fillRect/>
                    </a:stretch>
                  </pic:blipFill>
                  <pic:spPr bwMode="auto">
                    <a:xfrm>
                      <a:off x="0" y="0"/>
                      <a:ext cx="5734113" cy="3669832"/>
                    </a:xfrm>
                    <a:prstGeom prst="rect">
                      <a:avLst/>
                    </a:prstGeom>
                    <a:noFill/>
                    <a:ln w="9525">
                      <a:noFill/>
                      <a:headEnd/>
                      <a:tailEnd/>
                    </a:ln>
                  </pic:spPr>
                </pic:pic>
              </a:graphicData>
            </a:graphic>
          </wp:inline>
        </w:drawing>
      </w:r>
    </w:p>
    <w:p>
      <w:pPr>
        <w:pStyle w:val="ImageCaption"/>
      </w:pPr>
      <w:bookmarkStart w:id="36" w:name="fig:fig-boundary-1"/>
      <w:bookmarkEnd w:id="36"/>
      <w:r>
        <w:t xml:space="preserve">Figure 1: Boundary-estimate diagnostic.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34113" cy="5504749"/>
            <wp:effectExtent b="0" l="0" r="0" t="0"/>
            <wp:docPr descr="Figure 2: Illustration of survivorship trajectories under boundary survival transitions. These cases can induce artefactual trajectory shapes and help explain mismatches between point estimates and uncertainty-aware summaries." title="" id="38" name="Picture"/>
            <a:graphic>
              <a:graphicData uri="http://schemas.openxmlformats.org/drawingml/2006/picture">
                <pic:pic>
                  <pic:nvPicPr>
                    <pic:cNvPr descr="../../figures/Figure_S2_boundary_survivorship_illustration.png" id="39" name="Picture"/>
                    <pic:cNvPicPr>
                      <a:picLocks noChangeArrowheads="1" noChangeAspect="1"/>
                    </pic:cNvPicPr>
                  </pic:nvPicPr>
                  <pic:blipFill>
                    <a:blip r:embed="rId37"/>
                    <a:stretch>
                      <a:fillRect/>
                    </a:stretch>
                  </pic:blipFill>
                  <pic:spPr bwMode="auto">
                    <a:xfrm>
                      <a:off x="0" y="0"/>
                      <a:ext cx="5734113" cy="5504749"/>
                    </a:xfrm>
                    <a:prstGeom prst="rect">
                      <a:avLst/>
                    </a:prstGeom>
                    <a:noFill/>
                    <a:ln w="9525">
                      <a:noFill/>
                      <a:headEnd/>
                      <a:tailEnd/>
                    </a:ln>
                  </pic:spPr>
                </pic:pic>
              </a:graphicData>
            </a:graphic>
          </wp:inline>
        </w:drawing>
      </w:r>
    </w:p>
    <w:p>
      <w:pPr>
        <w:pStyle w:val="ImageCaption"/>
      </w:pPr>
      <w:bookmarkStart w:id="40" w:name="fig:fig-boundary-2"/>
      <w:bookmarkEnd w:id="40"/>
      <w:r>
        <w:t xml:space="preserve">Figure 2: Illustration of survivorship trajectories under boundary survival transitions. These cases can induce artefactual trajectory shapes and help explain mismatches between point estimates and uncertainty-aware summaries.</w:t>
      </w:r>
    </w:p>
    <w:p>
      <w:r>
        <w:br w:type="page"/>
      </w:r>
    </w:p>
    <w:p>
      <w:pPr>
        <w:pStyle w:val="CaptionedFigure"/>
      </w:pPr>
      <w:r>
        <w:drawing>
          <wp:inline>
            <wp:extent cx="5943600" cy="7431597"/>
            <wp:effectExtent b="0" l="0" r="0" t="0"/>
            <wp:docPr descr="Figure 3: Analysis 3 multisite climate-demography comparison for Astragalus scaphoides. Panel A (Haynes Creek), panel B (McDevitt Creek), and panel C (Sheep Corral Gulch) each show monthly lag coefficients, recruitment fits, and stage-specific survival coefficients for point-estimate and sampling-uncertainty formulations. Across sites, the two formulations remain closely aligned, showing limited sensitivity to sampling-uncertainty propagation relative to among-site ecological differences." title="" id="42" name="Picture"/>
            <a:graphic>
              <a:graphicData uri="http://schemas.openxmlformats.org/drawingml/2006/picture">
                <pic:pic>
                  <pic:nvPicPr>
                    <pic:cNvPr descr="../../figures/Figure_S3_analysis3_climate_effects_multisite.png" id="43" name="Picture"/>
                    <pic:cNvPicPr>
                      <a:picLocks noChangeArrowheads="1" noChangeAspect="1"/>
                    </pic:cNvPicPr>
                  </pic:nvPicPr>
                  <pic:blipFill>
                    <a:blip r:embed="rId41"/>
                    <a:stretch>
                      <a:fillRect/>
                    </a:stretch>
                  </pic:blipFill>
                  <pic:spPr bwMode="auto">
                    <a:xfrm>
                      <a:off x="0" y="0"/>
                      <a:ext cx="5943600" cy="7431597"/>
                    </a:xfrm>
                    <a:prstGeom prst="rect">
                      <a:avLst/>
                    </a:prstGeom>
                    <a:noFill/>
                    <a:ln w="9525">
                      <a:noFill/>
                      <a:headEnd/>
                      <a:tailEnd/>
                    </a:ln>
                  </pic:spPr>
                </pic:pic>
              </a:graphicData>
            </a:graphic>
          </wp:inline>
        </w:drawing>
      </w:r>
    </w:p>
    <w:p>
      <w:pPr>
        <w:pStyle w:val="ImageCaption"/>
      </w:pPr>
      <w:bookmarkStart w:id="44" w:name="fig:fig-case3-multisite"/>
      <w:bookmarkEnd w:id="44"/>
      <w:r>
        <w:t xml:space="preserve">Figure 3: Analysis 3 multisite climate-demography comparison for</w:t>
      </w:r>
      <w:r>
        <w:t xml:space="preserve"> </w:t>
      </w:r>
      <w:r>
        <w:rPr>
          <w:i/>
          <w:iCs/>
        </w:rPr>
        <w:t xml:space="preserve">Astragalus scaphoides</w:t>
      </w:r>
      <w:r>
        <w:t xml:space="preserve">. Panel A (Haynes Creek), panel B (McDevitt Creek), and panel C (Sheep Corral Gulch) each show monthly lag coefficients, recruitment fits, and stage-specific survival coefficients for point-estimate and sampling-uncertainty formulations. Across sites, the two formulations remain closely aligned, showing limited sensitivity to sampling-uncertainty propagation relative to among-site ecological differences.</w:t>
      </w:r>
    </w:p>
    <w:bookmarkEnd w:id="45"/>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2026-03-01T16:19:58Z</dcterms:created>
  <dcterms:modified xsi:type="dcterms:W3CDTF">2026-03-01T16:19:58Z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