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p>
      <w:pPr>
        <w:pStyle w:val="Subtitle"/>
      </w:pPr>
      <w:r>
        <w:t xml:space="preserve">When does sampling uncertainty matter in matrix population models? Evidence from published projection matrices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9" w:name="supplementary-methods"/>
    <w:p>
      <w:pPr>
        <w:pStyle w:val="Heading1"/>
      </w:pPr>
      <w:r>
        <w:t xml:space="preserve">Supplementary Methods</w:t>
      </w:r>
    </w:p>
    <w:bookmarkStart w:id="20"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20"/>
    <w:bookmarkStart w:id="21"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21"/>
    <w:bookmarkStart w:id="22" w:name="s1.3-pooled-and-mean-mpm-handling"/>
    <w:p>
      <w:pPr>
        <w:pStyle w:val="Heading2"/>
      </w:pPr>
      <w:r>
        <w:t xml:space="preserve">S1.3 Pooled and mean MPM handling</w:t>
      </w:r>
    </w:p>
    <w:p>
      <w:pPr>
        <w:pStyle w:val="FirstParagraph"/>
      </w:pPr>
      <w:r>
        <w:t xml:space="preserve">Where population-level pooled MPMs were available, they were used; otherwise, mean MPMs were used.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22"/>
    <w:bookmarkStart w:id="23"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1"/>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1"/>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FirstParagraph"/>
      </w:pPr>
      <w:r>
        <w:t xml:space="preserve">Fitting settings used in scripts:</w:t>
      </w:r>
    </w:p>
    <w:p>
      <w:pPr>
        <w:pStyle w:val="Compact"/>
        <w:numPr>
          <w:ilvl w:val="0"/>
          <w:numId w:val="1002"/>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2"/>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bookmarkEnd w:id="23"/>
    <w:bookmarkStart w:id="24"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3"/>
        </w:numPr>
      </w:pPr>
      <w:r>
        <w:t xml:space="preserve">sampling component: mean within-MPM sampling variance from bootstrap draws;</w:t>
      </w:r>
    </w:p>
    <w:p>
      <w:pPr>
        <w:pStyle w:val="Compact"/>
        <w:numPr>
          <w:ilvl w:val="0"/>
          <w:numId w:val="1003"/>
        </w:numPr>
      </w:pPr>
      <w:r>
        <w:t xml:space="preserve">residual component: remaining variance among populations/species.</w:t>
      </w:r>
    </w:p>
    <w:p>
      <w:pPr>
        <w:pStyle w:val="FirstParagraph"/>
      </w:pPr>
      <w:r>
        <w:t xml:space="preserve">The reported summary is Eq. (1):</w:t>
      </w:r>
    </w:p>
    <w:p>
      <w:pPr>
        <w:pStyle w:val="BodyText"/>
      </w:pPr>
      <m:oMathPara>
        <m:oMathParaPr>
          <m:jc m:val="center"/>
        </m:oMathParaPr>
        <m:oMath>
          <m:r>
            <m:rPr>
              <m:nor/>
              <m:sty m:val="p"/>
            </m:rPr>
            <m:t>ratio</m:t>
          </m:r>
          <m:r>
            <m:rPr>
              <m:sty m:val="p"/>
            </m:rPr>
            <m:t>=</m:t>
          </m:r>
          <m:f>
            <m:fPr>
              <m:type m:val="bar"/>
            </m:fPr>
            <m:num>
              <m:sSubSup>
                <m:e>
                  <m:r>
                    <m:t>σ</m:t>
                  </m:r>
                </m:e>
                <m:sub>
                  <m:r>
                    <m:rPr>
                      <m:nor/>
                      <m:sty m:val="p"/>
                    </m:rPr>
                    <m:t>sampling</m:t>
                  </m:r>
                </m:sub>
                <m:sup>
                  <m:r>
                    <m:t>2</m:t>
                  </m:r>
                </m:sup>
              </m:sSubSup>
            </m:num>
            <m:den>
              <m:sSubSup>
                <m:e>
                  <m:r>
                    <m:t>σ</m:t>
                  </m:r>
                </m:e>
                <m:sub>
                  <m:r>
                    <m:rPr>
                      <m:nor/>
                      <m:sty m:val="p"/>
                    </m:rPr>
                    <m:t>residual</m:t>
                  </m:r>
                </m:sub>
                <m:sup>
                  <m:r>
                    <m:t>2</m:t>
                  </m:r>
                </m:sup>
              </m:sSubSup>
            </m:den>
          </m:f>
          <m:r>
            <m:t>  </m:t>
          </m:r>
          <m:d>
            <m:dPr>
              <m:begChr m:val="("/>
              <m:sepChr m:val=""/>
              <m:endChr m:val=")"/>
              <m:grow/>
            </m:dPr>
            <m:e>
              <m:r>
                <m:t>1</m:t>
              </m:r>
            </m:e>
          </m:d>
        </m:oMath>
      </m:oMathPara>
    </w:p>
    <w:p>
      <w:pPr>
        <w:pStyle w:val="FirstParagraph"/>
      </w:pPr>
      <w:r>
        <w:t xml:space="preserve">Ratios above 1 indicate that sampling uncertainty exceeds residual biological variation for that parameter.</w:t>
      </w:r>
    </w:p>
    <w:bookmarkEnd w:id="24"/>
    <w:bookmarkStart w:id="25"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an SSD-weighted quasibinomial point-estimate model,</w:t>
      </w:r>
      <w:r>
        <w:t xml:space="preserve"> </w:t>
      </w:r>
      <m:oMath>
        <m:r>
          <m:rPr>
            <m:nor/>
            <m:sty m:val="p"/>
            <m:scr m:val="monospace"/>
          </m:rPr>
          <m:t>surv</m:t>
        </m:r>
        <m:r>
          <m:rPr>
            <m:sty m:val="p"/>
          </m:rPr>
          <m:t>∼</m:t>
        </m:r>
        <m:r>
          <m:rPr>
            <m:nor/>
            <m:sty m:val="p"/>
            <m:scr m:val="monospace"/>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w:t>
      </w:r>
    </w:p>
    <w:bookmarkEnd w:id="25"/>
    <w:bookmarkStart w:id="26"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4"/>
        </w:numPr>
      </w:pPr>
      <w:r>
        <w:t xml:space="preserve">transition-level sample sizes for each matrix element (or reconstructable transition count tables);</w:t>
      </w:r>
    </w:p>
    <w:p>
      <w:pPr>
        <w:pStyle w:val="Compact"/>
        <w:numPr>
          <w:ilvl w:val="0"/>
          <w:numId w:val="1004"/>
        </w:numPr>
      </w:pPr>
      <w:r>
        <w:t xml:space="preserve">clear identification of pooled/mean matrices and pooling rules;</w:t>
      </w:r>
    </w:p>
    <w:p>
      <w:pPr>
        <w:pStyle w:val="Compact"/>
        <w:numPr>
          <w:ilvl w:val="0"/>
          <w:numId w:val="1004"/>
        </w:numPr>
      </w:pPr>
      <w:r>
        <w:t xml:space="preserve">uncertainty estimates on model-appropriate scales (e.g. linear predictor where relevant);</w:t>
      </w:r>
    </w:p>
    <w:p>
      <w:pPr>
        <w:pStyle w:val="Compact"/>
        <w:numPr>
          <w:ilvl w:val="0"/>
          <w:numId w:val="1004"/>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26"/>
    <w:bookmarkStart w:id="27" w:name="X673af67ed43224aff21550b61d48c598bc599d3"/>
    <w:p>
      <w:pPr>
        <w:pStyle w:val="Heading2"/>
      </w:pPr>
      <w:r>
        <w:t xml:space="preserve">S1.8 Study and species identities in analysis 1</w:t>
      </w:r>
    </w:p>
    <w:p>
      <w:pPr>
        <w:pStyle w:val="FirstParagraph"/>
      </w:pPr>
      <w:r>
        <w:t xml:space="preserve">Analysis 1 used 67 population-level entries representing 26 species. Study-level and species-level identities (including COMPADRE</w:t>
      </w:r>
      <w:r>
        <w:t xml:space="preserve"> </w:t>
      </w:r>
      <w:r>
        <w:rPr>
          <w:rStyle w:val="VerbatimChar"/>
        </w:rPr>
        <w:t xml:space="preserve">SpeciesAuthor</w:t>
      </w:r>
      <w:r>
        <w:t xml:space="preserve"> </w:t>
      </w:r>
      <w:r>
        <w:t xml:space="preserve">labels) are provided in Table S6.</w:t>
      </w:r>
    </w:p>
    <w:bookmarkEnd w:id="27"/>
    <w:bookmarkStart w:id="28" w:name="X55610f327a7c88ede596a8c62793d30e621a693"/>
    <w:p>
      <w:pPr>
        <w:pStyle w:val="Heading2"/>
      </w:pPr>
      <w:r>
        <w:t xml:space="preserve">S1.9 Multi-site extension for analysis 3 (</w:t>
      </w:r>
      <w:r>
        <w:rPr>
          <w:i/>
          <w:iCs/>
        </w:rPr>
        <w:t xml:space="preserve">Astragalus scaphoides</w:t>
      </w:r>
      <w:r>
        <w:t xml:space="preserve">)</w:t>
      </w:r>
    </w:p>
    <w:p>
      <w:pPr>
        <w:pStyle w:val="FirstParagraph"/>
      </w:pPr>
      <w:r>
        <w:t xml:space="preserve">To evaluate whether inference robustness in analysis 2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isolates the contribution of uncertainty propagation while preserving site-specific ecological context.</w:t>
      </w:r>
    </w:p>
    <w:p>
      <w:pPr>
        <w:pStyle w:val="BodyText"/>
      </w:pPr>
      <w:r>
        <w:t xml:space="preserve">For stage-specific survival in analysis 3, we used the same matched pair as in analysis 2: an SSD-weighted quasibinomial point-estimate model (</w:t>
      </w:r>
      <m:oMath>
        <m:r>
          <m:rPr>
            <m:nor/>
            <m:sty m:val="p"/>
            <m:scr m:val="monospace"/>
          </m:rPr>
          <m:t>surv</m:t>
        </m:r>
        <m:r>
          <m:rPr>
            <m:sty m:val="p"/>
          </m:rPr>
          <m:t>∼</m:t>
        </m:r>
        <m:r>
          <m:rPr>
            <m:nor/>
            <m:sty m:val="p"/>
            <m:scr m:val="monospace"/>
          </m:rPr>
          <m:t>tmp</m:t>
        </m:r>
      </m:oMath>
      <w:r>
        <w:t xml:space="preserve">, weights from the stable stage distribution of each annual</w:t>
      </w:r>
      <w:r>
        <w:t xml:space="preserve"> </w:t>
      </w:r>
      <m:oMath>
        <m:r>
          <m:t>U</m:t>
        </m:r>
      </m:oMath>
      <w:r>
        <w:t xml:space="preserve"> </w:t>
      </w:r>
      <w:r>
        <w:t xml:space="preserve">matrix) and a binomial count model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This keeps the linear predictor and response scale aligned across formulations, differing only in whether survival is treated as a plug-in proportion or as counts with explicit sampling uncertainty.</w:t>
      </w:r>
    </w:p>
    <w:p>
      <w:pPr>
        <w:pStyle w:val="BodyText"/>
      </w:pPr>
      <w:r>
        <w:t xml:space="preserve">For sensitivity analyses intended to mimic database-only use (no access to true stage sample sizes), we re-fit stage-specific point-estimate models under two alternatives: (i) no weighting and (ii) stable-stage-distribution (SSD) weighting derived from each annual</w:t>
      </w:r>
      <w:r>
        <w:t xml:space="preserve"> </w:t>
      </w:r>
      <m:oMath>
        <m:r>
          <m:t>U</m:t>
        </m:r>
      </m:oMath>
      <w:r>
        <w:t xml:space="preserve"> </w:t>
      </w:r>
      <w:r>
        <w:t xml:space="preserve">matrix.</w:t>
      </w:r>
    </w:p>
    <w:bookmarkEnd w:id="28"/>
    <w:bookmarkEnd w:id="29"/>
    <w:bookmarkStart w:id="31" w:name="supplementary-results"/>
    <w:p>
      <w:pPr>
        <w:pStyle w:val="Heading1"/>
      </w:pPr>
      <w:r>
        <w:t xml:space="preserve">Supplementary Results</w:t>
      </w:r>
    </w:p>
    <w:bookmarkStart w:id="30"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analysis 3,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30"/>
    <w:bookmarkEnd w:id="31"/>
    <w:bookmarkStart w:id="32"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0.646</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r>
      <w:tr>
        <w:trPr>
          <w:trHeight w:val="5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r>
      <w:tr>
        <w:trPr>
          <w:trHeight w:val="5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r>
      <w:tr>
        <w:trPr>
          <w:trHeight w:val="5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r>
      <w:tr>
        <w:trPr>
          <w:trHeight w:val="5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r>
      <w:tr>
        <w:trPr>
          <w:trHeight w:val="5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r>
      <w:tr>
        <w:trPr>
          <w:trHeight w:val="57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r>
      <w:tr>
        <w:trPr>
          <w:trHeight w:val="57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r>
      <w:tr>
        <w:trPr>
          <w:trHeight w:val="57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r>
      <w:tr>
        <w:trPr>
          <w:trHeight w:val="5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r>
      <w:tr>
        <w:trPr>
          <w:trHeight w:val="57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r>
      <w:tr>
        <w:trPr>
          <w:trHeight w:val="5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r>
      <w:tr>
        <w:trPr>
          <w:trHeight w:val="57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r>
      <w:tr>
        <w:trPr>
          <w:trHeight w:val="621"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r>
      <w:tr>
        <w:trPr>
          <w:trHeight w:val="621"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r>
      <w:tr>
        <w:trPr>
          <w:trHeight w:val="62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r>
      <w:tr>
        <w:trPr>
          <w:trHeight w:val="621"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r>
      <w:tr>
        <w:trPr>
          <w:trHeight w:val="621"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r>
      <w:tr>
        <w:trPr>
          <w:trHeight w:val="62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r>
      <w:tr>
        <w:trPr>
          <w:trHeight w:val="621"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r>
      <w:tr>
        <w:trPr>
          <w:trHeight w:val="62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r>
      <w:tr>
        <w:trPr>
          <w:trHeight w:val="62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r>
      <w:tr>
        <w:trPr>
          <w:trHeight w:val="621"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r>
      <w:tr>
        <w:trPr>
          <w:trHeight w:val="62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r>
      <w:tr>
        <w:trPr>
          <w:trHeight w:val="621"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r>
      <w:tr>
        <w:trPr>
          <w:trHeight w:val="621"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r>
      <w:tr>
        <w:trPr>
          <w:trHeight w:val="621"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r>
      <w:tr>
        <w:trPr>
          <w:trHeight w:val="621"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r>
      <w:tr>
        <w:trPr>
          <w:trHeight w:val="621"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r>
      <w:tr>
        <w:trPr>
          <w:trHeight w:val="621" w:hRule="auto"/>
        </w:trPr>
        body48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152"/>
        <w:gridCol w:w="2736"/>
        <w:gridCol w:w="2592"/>
        <w:gridCol w:w="3888"/>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 (COMPADRE label)</w:t>
            </w:r>
          </w:p>
        </w:tc>
      </w:tr>
      <w:tr>
        <w:trPr>
          <w:trHeight w:val="6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thesis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Dracocephalum_austriacum</w:t>
            </w:r>
          </w:p>
        </w:tc>
      </w:tr>
      <w:tr>
        <w:trPr>
          <w:trHeight w:val="61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Lupinus_tidestromii</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Cons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Khaya_senegalensis</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Orchis_purpurea</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Dicorynia_guianensis</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Geonoma_schottiana</w:t>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Dactylorhiza_lapponica</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Toräng; Ehrlén; Ågren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Oecologia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10.1007/s00442-009-1552-1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Primula_farinosa_4</w:t>
            </w:r>
          </w:p>
        </w:tc>
      </w:tr>
      <w:tr>
        <w:trPr>
          <w:trHeight w:val="62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Csergő; Molnár;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Saponaria_bellidifolia</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Nat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Vella_pseudocytisus_subsp._paui_2</w:t>
            </w:r>
          </w:p>
        </w:tc>
      </w:tr>
      <w:tr>
        <w:trPr>
          <w:trHeight w:val="62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Evju; Halvorsen; Rydgren; Austrheim; Mysterud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10.1007/s11258-011-9906-2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Geranium_sylvaticum_2</w:t>
            </w:r>
          </w:p>
        </w:tc>
      </w:tr>
      <w:tr>
        <w:trPr>
          <w:trHeight w:val="61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Trop Cons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10.1177/19400829110040010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Lepidocaryum_tenue</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 Monog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Microberlinia_bisulcata; Tetraberlinia_bifoliolata</w:t>
            </w:r>
          </w:p>
        </w:tc>
      </w:tr>
      <w:tr>
        <w:trPr>
          <w:trHeight w:val="62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Cypripedium_fasciculatum</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Eryngium_alpinum</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Liatris_scariosa</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Cirsium_pitcheri_4</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Boswellia_papyrifera</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Trollius_laxus</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Phyllanthus_emblica_2; Phyllanthus_indofischeri</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Burns; Pardini; Schutzenhofer; Chung; Seidler;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10.1890/12-1310.1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Iris_germanica; Lonicera_maackii; Rosa_multiflora; Taraxacum_erythrospermum; Taraxacum_officinale_2</w:t>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Pityopsis_aspera</w:t>
            </w:r>
          </w:p>
        </w:tc>
      </w:tr>
      <w:tr>
        <w:trPr>
          <w:trHeight w:val="61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Maines; Knochel; Seastedt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10.1890/ES13-00094.1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Centaurea_stoebe_2</w:t>
            </w:r>
          </w:p>
        </w:tc>
      </w:tr>
      <w:tr>
        <w:trPr>
          <w:trHeight w:val="618"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Miscanthus_giganteus</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Lantana_camara</w:t>
            </w:r>
          </w:p>
        </w:tc>
      </w:tr>
      <w:tr>
        <w:trPr>
          <w:trHeight w:val="61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Villellas; Morris;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Plantago_coronopus_2</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Trollius_laxus_2</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Himatanthus_drasticus</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Festuca_eskia</w:t>
            </w:r>
          </w:p>
        </w:tc>
      </w:tr>
      <w:tr>
        <w:trPr>
          <w:trHeight w:val="619"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Haridas; Keeler; Tenhumberg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10.1890/13-1984.1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Opuntia_macrorhiza_2</w:t>
            </w:r>
          </w:p>
        </w:tc>
      </w:tr>
    </w:tbl>
    <w:p>
      <w:r>
        <w:br w:type="page"/>
      </w:r>
    </w:p>
    <w:p>
      <w:pPr>
        <w:pStyle w:val="BodyText"/>
      </w:pPr>
      <w:r>
        <w:t xml:space="preserve">Table S7. Analysis 3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609"/>
        <w:gridCol w:w="2086"/>
        <w:gridCol w:w="1927"/>
        <w:gridCol w:w="2221"/>
        <w:gridCol w:w="2624"/>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Spring beta (sampling)</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r>
      <w:tr>
        <w:trPr>
          <w:trHeight w:val="57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r>
    </w:tbl>
    <w:p>
      <w:r>
        <w:br w:type="page"/>
      </w:r>
    </w:p>
    <w:p>
      <w:pPr>
        <w:pStyle w:val="BodyText"/>
      </w:pPr>
      <w:r>
        <w:t xml:space="preserve">Table S8. Analysis 3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w:t>
      </w:r>
      <w:r>
        <w:t xml:space="preserve"> </w:t>
      </w:r>
      <w:r>
        <w:t xml:space="preserve">“No weights”</w:t>
      </w:r>
      <w:r>
        <w:t xml:space="preserve"> </w:t>
      </w:r>
      <w:r>
        <w:t xml:space="preserve">treats annual stage-specific survival proportions equally, whereas</w:t>
      </w:r>
      <w:r>
        <w:t xml:space="preserve"> </w:t>
      </w:r>
      <w:r>
        <w:t xml:space="preserve">“SSD weights”</w:t>
      </w:r>
      <w:r>
        <w:t xml:space="preserve"> </w:t>
      </w:r>
      <w:r>
        <w:t xml:space="preserve">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Analysis 3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bookmarkEnd w:id="32"/>
    <w:bookmarkStart w:id="41" w:name="supplementary-figures"/>
    <w:p>
      <w:pPr>
        <w:pStyle w:val="Heading1"/>
      </w:pPr>
      <w:r>
        <w:t xml:space="preserve">Supplementary Figures</w:t>
      </w:r>
    </w:p>
    <w:p>
      <w:pPr>
        <w:pStyle w:val="CaptionedFigure"/>
      </w:pPr>
      <w:r>
        <w:drawing>
          <wp:inline>
            <wp:extent cx="5734113" cy="3669832"/>
            <wp:effectExtent b="0" l="0" r="0" t="0"/>
            <wp:docPr descr="Figure 1: Boundary-estimate diagnostic. When stage-specific survival estimates are near 0 or 1, derived-parameter sampling distributions can be displaced relative to point estimates, indicating potential inferential fragility." title="" id="34" name="Picture"/>
            <a:graphic>
              <a:graphicData uri="http://schemas.openxmlformats.org/drawingml/2006/picture">
                <pic:pic>
                  <pic:nvPicPr>
                    <pic:cNvPr descr="../../figures/Figure_S1_boundary_estimate_diagnostic.png" id="35" name="Picture"/>
                    <pic:cNvPicPr>
                      <a:picLocks noChangeArrowheads="1" noChangeAspect="1"/>
                    </pic:cNvPicPr>
                  </pic:nvPicPr>
                  <pic:blipFill>
                    <a:blip r:embed="rId33"/>
                    <a:stretch>
                      <a:fillRect/>
                    </a:stretch>
                  </pic:blipFill>
                  <pic:spPr bwMode="auto">
                    <a:xfrm>
                      <a:off x="0" y="0"/>
                      <a:ext cx="5734113" cy="3669832"/>
                    </a:xfrm>
                    <a:prstGeom prst="rect">
                      <a:avLst/>
                    </a:prstGeom>
                    <a:noFill/>
                    <a:ln w="9525">
                      <a:noFill/>
                      <a:headEnd/>
                      <a:tailEnd/>
                    </a:ln>
                  </pic:spPr>
                </pic:pic>
              </a:graphicData>
            </a:graphic>
          </wp:inline>
        </w:drawing>
      </w:r>
    </w:p>
    <w:p>
      <w:pPr>
        <w:pStyle w:val="ImageCaption"/>
      </w:pPr>
      <w:bookmarkStart w:id="36" w:name="fig:fig-boundary-1"/>
      <w:bookmarkEnd w:id="36"/>
      <w:r>
        <w:t xml:space="preserve">Figure 1: Boundary-estimate diagnostic.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34113" cy="5504749"/>
            <wp:effectExtent b="0" l="0" r="0" t="0"/>
            <wp:docPr descr="Figure 2: Illustration of survivorship trajectories under boundary survival transitions. These cases can induce artefactual trajectory shapes and help explain mismatches between point estimates and uncertainty-aware summaries." title="" id="38" name="Picture"/>
            <a:graphic>
              <a:graphicData uri="http://schemas.openxmlformats.org/drawingml/2006/picture">
                <pic:pic>
                  <pic:nvPicPr>
                    <pic:cNvPr descr="../../figures/Figure_S2_boundary_survivorship_illustration.png" id="39" name="Picture"/>
                    <pic:cNvPicPr>
                      <a:picLocks noChangeArrowheads="1" noChangeAspect="1"/>
                    </pic:cNvPicPr>
                  </pic:nvPicPr>
                  <pic:blipFill>
                    <a:blip r:embed="rId37"/>
                    <a:stretch>
                      <a:fillRect/>
                    </a:stretch>
                  </pic:blipFill>
                  <pic:spPr bwMode="auto">
                    <a:xfrm>
                      <a:off x="0" y="0"/>
                      <a:ext cx="5734113" cy="5504749"/>
                    </a:xfrm>
                    <a:prstGeom prst="rect">
                      <a:avLst/>
                    </a:prstGeom>
                    <a:noFill/>
                    <a:ln w="9525">
                      <a:noFill/>
                      <a:headEnd/>
                      <a:tailEnd/>
                    </a:ln>
                  </pic:spPr>
                </pic:pic>
              </a:graphicData>
            </a:graphic>
          </wp:inline>
        </w:drawing>
      </w:r>
    </w:p>
    <w:p>
      <w:pPr>
        <w:pStyle w:val="ImageCaption"/>
      </w:pPr>
      <w:bookmarkStart w:id="40" w:name="fig:fig-boundary-2"/>
      <w:bookmarkEnd w:id="40"/>
      <w:r>
        <w:t xml:space="preserve">Figure 2: Illustration of survivorship trajectories under boundary survival transitions. These cases can induce artefactual trajectory shapes and help explain mismatches between point estimates and uncertainty-aware summaries.</w:t>
      </w:r>
    </w:p>
    <w:p>
      <w:r>
        <w:br w:type="page"/>
      </w:r>
    </w:p>
    <w:bookmarkEnd w:id="41"/>
    <w:sectPr w:rsidR="00445ECF" w:rsidRPr="000A5324">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A5324"/>
    <w:rsid w:val="00293780"/>
    <w:rsid w:val="00445ECF"/>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93780"/>
    <w:pPr>
      <w:keepNext/>
      <w:keepLines/>
    </w:pPr>
    <w:rPr>
      <w:b w:val="0"/>
      <w:bCs w:val="0"/>
      <w:sz w:val="24"/>
      <w:szCs w:val="24"/>
    </w:rPr>
  </w:style>
  <w:style w:styleId="Date" w:type="paragraph">
    <w:name w:val="Date"/>
    <w:basedOn w:val="Title"/>
    <w:next w:val="BodyText"/>
    <w:qFormat/>
    <w:rsid w:val="00293780"/>
    <w:pPr>
      <w:keepNext/>
      <w:keepLines/>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2026-03-01T20:57:23Z</dcterms:created>
  <dcterms:modified xsi:type="dcterms:W3CDTF">2026-03-01T20:57:23Z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When does sampling uncertainty matter in matrix population models? Evidence from published projection matrices</vt:lpwstr>
  </property>
</Properties>
</file>