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55.png" ContentType="image/png"/>
  <Override PartName="/word/media/rId51.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Patrick Barks</w:t>
      </w:r>
      <w:r>
        <w:rPr>
          <w:vertAlign w:val="superscript"/>
        </w:rPr>
        <w:t xml:space="preserve">1</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two parallel analyses, one comparative and the other a within-species time series, that either incorporated or ignored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These two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 history database, and COM(P)ADRE (Salguero-Gómez et al. 2015, Salguero-Gómez et al. 2016a) has facilitated fascinating comparative analyses in ecology, evolution, and demography (e.g. Garratt et al. 2013, Adler et al. 2014, Healy et al. 2014, Fristoe et al. 2017). By leveraging open-source databases that combine data from hundreds of individual studies, researchers can test hypotheses of interest at taxonomic, spatial, and temporal scales that would otherwise be impossible. However, analysing</w:t>
      </w:r>
      <w:r>
        <w:t xml:space="preserve"> </w:t>
      </w:r>
      <w:r>
        <w:t xml:space="preserve">“other people’s data”</w:t>
      </w:r>
      <w:r>
        <w:t xml:space="preserve"> </w:t>
      </w:r>
      <w:r>
        <w:t xml:space="preserve">also presents its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almost always account for sampling uncertainty in their own analyses. However, studies that subsequently analyse parameter estimates compiled in demographic databases rarely account for uncertainty in those estimates, raising questions about the robustness of inferences drawn from such analyses (Biggs et al. 2009).</w:t>
      </w:r>
    </w:p>
    <w:p>
      <w:pPr>
        <w:pStyle w:val="BodyText"/>
      </w:pPr>
      <w:r>
        <w:t xml:space="preserve">Despite widespread recognition that sampling uncertainty is inherent in demographic estimates,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Here, we instead focus on the practical consequences of accounting for sampling uncertainty in real analyses, asking when and for which demographic traits this uncertainty materially affects inference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&amp;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through two contrasting analyses, how sampling uncertainty in published projection matrices propagates to commonly used MPM-derived traits, and to explore conditions under which point estimates may be robust or fragile. Rather than a comprehensive assessment across all possible traits and study designs, we use these analyses to illustrate the trait-dependent nature of uncertainty effects and to identify diagnostic features that may help researchers assess robustness in their own work. Although sample sizes are not reported in COMPADRE, anecdotal evidence suggests that some transition rates have been estimated from very small samples, in some cases from as few as a single individual. Using a subset of studies for which transition-specific sample sizes or equivalent information could be obtained, we examine how sampling uncertainty propagates to a selection of MPM-derived traits across two analyses, and consider what these results suggest about the conditions under which such uncertainty warrants explicit attention.</w:t>
      </w:r>
    </w:p>
    <w:bookmarkEnd w:id="25"/>
    <w:bookmarkStart w:id="32"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to obtain data. The initial search criteria were: studies published from 2010 onward; species of common perennial growth types (herbaceous, shrub, tree, palm, and succulent); wild populations not subject to any experimental treatment; and MPMs with three or more stage classes and a projection interval of one year. Of the 91 studies that met our initial criteria, we obtained the data necessary to model sampling uncertainty for 28, representing a total of 298 MPMs for 73 populations of 27 species. We supplemented this set with 5 additional studies published prior to 2010 for which we had previously obtained data (these had been targeted based on a criterion of ≥4 years of temporal replication). Our final set, therefore, included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but in general, survival-related transitions are estimated directly from observed transition frequencies in a sample of tagged individuals, as in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oMath>
      </m:oMathPara>
    </w:p>
    <w:p>
      <w:pPr>
        <w:pStyle w:val="FirstParagraph"/>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w:t>
      </w:r>
    </w:p>
    <w:p>
      <w:pPr>
        <w:pStyle w:val="BodyText"/>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p>
      <w:pPr>
        <w:pStyle w:val="BodyText"/>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In that study, ~80 plants were monitored each year in a population estimated at ~1000 individuals. The raw transition frequencies used to derive the focal MPM (including death transitions appended as an extra row) were</w:t>
      </w:r>
    </w:p>
    <w:p>
      <w:pPr>
        <w:pStyle w:val="BodyText"/>
      </w:pPr>
      <m:oMathPara>
        <m:oMathParaPr>
          <m:jc m:val="center"/>
        </m:oMathParaPr>
        <m:oMath>
          <m:m>
            <m:mPr>
              <m:baseJc m:val="center"/>
              <m:plcHide m:val="on"/>
              <m:mcs>
                <m:mc>
                  <m:mcPr>
                    <m:mcJc m:val="right"/>
                    <m:count m:val="1"/>
                  </m:mcPr>
                </m:mc>
                <m:mc>
                  <m:mcPr>
                    <m:mcJc m:val="left"/>
                    <m:count m:val="1"/>
                  </m:mcPr>
                </m:mc>
              </m:mcs>
            </m:mPr>
            <m:mr>
              <m:e/>
              <m:e>
                <m:sSub>
                  <m:e>
                    <m:r>
                      <m:t>F</m:t>
                    </m:r>
                  </m:e>
                  <m:sub>
                    <m:r>
                      <m:t>14</m:t>
                    </m:r>
                  </m:sub>
                </m:sSub>
                <m:r>
                  <m:rPr>
                    <m:sty m:val="p"/>
                  </m:rPr>
                  <m:t>=</m:t>
                </m:r>
                <m:r>
                  <m:t>9</m:t>
                </m:r>
                <m:r>
                  <m:rPr>
                    <m:sty m:val="p"/>
                  </m:rPr>
                  <m:t>/</m:t>
                </m:r>
                <m:r>
                  <m:t>47</m:t>
                </m:r>
                <m:r>
                  <m:rPr>
                    <m:sty m:val="p"/>
                  </m:rPr>
                  <m:t>,</m:t>
                </m:r>
                <m:r>
                  <m:t> </m:t>
                </m:r>
                <m:sSub>
                  <m:e>
                    <m:r>
                      <m:t>U</m:t>
                    </m:r>
                  </m:e>
                  <m:sub>
                    <m:r>
                      <m:t>21</m:t>
                    </m:r>
                  </m:sub>
                </m:sSub>
                <m:r>
                  <m:rPr>
                    <m:sty m:val="p"/>
                  </m:rPr>
                  <m:t>=</m:t>
                </m:r>
                <m:r>
                  <m:t>12</m:t>
                </m:r>
                <m:r>
                  <m:rPr>
                    <m:sty m:val="p"/>
                  </m:rPr>
                  <m:t>/</m:t>
                </m:r>
                <m:r>
                  <m:t>14</m:t>
                </m:r>
                <m:r>
                  <m:rPr>
                    <m:sty m:val="p"/>
                  </m:rPr>
                  <m:t>,</m:t>
                </m:r>
                <m:r>
                  <m:t> </m:t>
                </m:r>
                <m:sSub>
                  <m:e>
                    <m:r>
                      <m:t>U</m:t>
                    </m:r>
                  </m:e>
                  <m:sub>
                    <m:r>
                      <m:t>22</m:t>
                    </m:r>
                  </m:sub>
                </m:sSub>
                <m:r>
                  <m:rPr>
                    <m:sty m:val="p"/>
                  </m:rPr>
                  <m:t>=</m:t>
                </m:r>
                <m:r>
                  <m:t>14</m:t>
                </m:r>
                <m:r>
                  <m:rPr>
                    <m:sty m:val="p"/>
                  </m:rPr>
                  <m:t>/</m:t>
                </m:r>
                <m:r>
                  <m:t>18</m:t>
                </m:r>
                <m:r>
                  <m:rPr>
                    <m:sty m:val="p"/>
                  </m:rPr>
                  <m:t>,</m:t>
                </m:r>
                <m:r>
                  <m:t> </m:t>
                </m:r>
                <m:sSub>
                  <m:e>
                    <m:r>
                      <m:t>U</m:t>
                    </m:r>
                  </m:e>
                  <m:sub>
                    <m:r>
                      <m:t>32</m:t>
                    </m:r>
                  </m:sub>
                </m:sSub>
                <m:r>
                  <m:rPr>
                    <m:sty m:val="p"/>
                  </m:rPr>
                  <m:t>=</m:t>
                </m:r>
                <m:r>
                  <m:t>1</m:t>
                </m:r>
                <m:r>
                  <m:rPr>
                    <m:sty m:val="p"/>
                  </m:rPr>
                  <m:t>/</m:t>
                </m:r>
                <m:r>
                  <m:t>18</m:t>
                </m:r>
                <m:r>
                  <m:rPr>
                    <m:sty m:val="p"/>
                  </m:rPr>
                  <m:t>,</m:t>
                </m:r>
              </m:e>
            </m:mr>
            <m:mr>
              <m:e/>
              <m:e>
                <m:sSub>
                  <m:e>
                    <m:r>
                      <m:t>U</m:t>
                    </m:r>
                  </m:e>
                  <m:sub>
                    <m:r>
                      <m:t>33</m:t>
                    </m:r>
                  </m:sub>
                </m:sSub>
                <m:r>
                  <m:rPr>
                    <m:sty m:val="p"/>
                  </m:rPr>
                  <m:t>=</m:t>
                </m:r>
                <m:r>
                  <m:t>6</m:t>
                </m:r>
                <m:r>
                  <m:rPr>
                    <m:sty m:val="p"/>
                  </m:rPr>
                  <m:t>/</m:t>
                </m:r>
                <m:r>
                  <m:t>9</m:t>
                </m:r>
                <m:r>
                  <m:rPr>
                    <m:sty m:val="p"/>
                  </m:rPr>
                  <m:t>,</m:t>
                </m:r>
                <m:r>
                  <m:t> </m:t>
                </m:r>
                <m:sSub>
                  <m:e>
                    <m:r>
                      <m:t>U</m:t>
                    </m:r>
                  </m:e>
                  <m:sub>
                    <m:r>
                      <m:t>34</m:t>
                    </m:r>
                  </m:sub>
                </m:sSub>
                <m:r>
                  <m:rPr>
                    <m:sty m:val="p"/>
                  </m:rPr>
                  <m:t>=</m:t>
                </m:r>
                <m:r>
                  <m:t>13</m:t>
                </m:r>
                <m:r>
                  <m:rPr>
                    <m:sty m:val="p"/>
                  </m:rPr>
                  <m:t>/</m:t>
                </m:r>
                <m:r>
                  <m:t>47</m:t>
                </m:r>
                <m:r>
                  <m:rPr>
                    <m:sty m:val="p"/>
                  </m:rPr>
                  <m:t>,</m:t>
                </m:r>
                <m:r>
                  <m:t> </m:t>
                </m:r>
                <m:sSub>
                  <m:e>
                    <m:r>
                      <m:t>U</m:t>
                    </m:r>
                  </m:e>
                  <m:sub>
                    <m:r>
                      <m:t>43</m:t>
                    </m:r>
                  </m:sub>
                </m:sSub>
                <m:r>
                  <m:rPr>
                    <m:sty m:val="p"/>
                  </m:rPr>
                  <m:t>=</m:t>
                </m:r>
                <m:r>
                  <m:t>2</m:t>
                </m:r>
                <m:r>
                  <m:rPr>
                    <m:sty m:val="p"/>
                  </m:rPr>
                  <m:t>/</m:t>
                </m:r>
                <m:r>
                  <m:t>9</m:t>
                </m:r>
                <m:r>
                  <m:rPr>
                    <m:sty m:val="p"/>
                  </m:rPr>
                  <m:t>,</m:t>
                </m:r>
                <m:r>
                  <m:t> </m:t>
                </m:r>
                <m:sSub>
                  <m:e>
                    <m:r>
                      <m:t>U</m:t>
                    </m:r>
                  </m:e>
                  <m:sub>
                    <m:r>
                      <m:t>44</m:t>
                    </m:r>
                  </m:sub>
                </m:sSub>
                <m:r>
                  <m:rPr>
                    <m:sty m:val="p"/>
                  </m:rPr>
                  <m:t>=</m:t>
                </m:r>
                <m:r>
                  <m:t>33</m:t>
                </m:r>
                <m:r>
                  <m:rPr>
                    <m:sty m:val="p"/>
                  </m:rPr>
                  <m:t>/</m:t>
                </m:r>
                <m:r>
                  <m:t>47</m:t>
                </m:r>
                <m:r>
                  <m:rPr>
                    <m:sty m:val="p"/>
                  </m:rPr>
                  <m:t>,</m:t>
                </m:r>
              </m:e>
            </m:mr>
            <m:mr>
              <m:e/>
              <m:e>
                <m:sSub>
                  <m:e>
                    <m:r>
                      <m:t>U</m:t>
                    </m:r>
                  </m:e>
                  <m:sub>
                    <m:r>
                      <m:t>d</m:t>
                    </m:r>
                    <m:r>
                      <m:t>1</m:t>
                    </m:r>
                  </m:sub>
                </m:sSub>
                <m:r>
                  <m:rPr>
                    <m:sty m:val="p"/>
                  </m:rPr>
                  <m:t>=</m:t>
                </m:r>
                <m:r>
                  <m:t>2</m:t>
                </m:r>
                <m:r>
                  <m:rPr>
                    <m:sty m:val="p"/>
                  </m:rPr>
                  <m:t>/</m:t>
                </m:r>
                <m:r>
                  <m:t>14</m:t>
                </m:r>
                <m:r>
                  <m:rPr>
                    <m:sty m:val="p"/>
                  </m:rPr>
                  <m:t>,</m:t>
                </m:r>
                <m:r>
                  <m:t> </m:t>
                </m:r>
                <m:sSub>
                  <m:e>
                    <m:r>
                      <m:t>U</m:t>
                    </m:r>
                  </m:e>
                  <m:sub>
                    <m:r>
                      <m:t>d</m:t>
                    </m:r>
                    <m:r>
                      <m:t>2</m:t>
                    </m:r>
                  </m:sub>
                </m:sSub>
                <m:r>
                  <m:rPr>
                    <m:sty m:val="p"/>
                  </m:rPr>
                  <m:t>=</m:t>
                </m:r>
                <m:r>
                  <m:t>3</m:t>
                </m:r>
                <m:r>
                  <m:rPr>
                    <m:sty m:val="p"/>
                  </m:rPr>
                  <m:t>/</m:t>
                </m:r>
                <m:r>
                  <m:t>18</m:t>
                </m:r>
                <m:r>
                  <m:rPr>
                    <m:sty m:val="p"/>
                  </m:rPr>
                  <m:t>,</m:t>
                </m:r>
                <m:r>
                  <m:t> </m:t>
                </m:r>
                <m:sSub>
                  <m:e>
                    <m:r>
                      <m:t>U</m:t>
                    </m:r>
                  </m:e>
                  <m:sub>
                    <m:r>
                      <m:t>d</m:t>
                    </m:r>
                    <m:r>
                      <m:t>3</m:t>
                    </m:r>
                  </m:sub>
                </m:sSub>
                <m:r>
                  <m:rPr>
                    <m:sty m:val="p"/>
                  </m:rPr>
                  <m:t>=</m:t>
                </m:r>
                <m:r>
                  <m:t>1</m:t>
                </m:r>
                <m:r>
                  <m:rPr>
                    <m:sty m:val="p"/>
                  </m:rPr>
                  <m:t>/</m:t>
                </m:r>
                <m:r>
                  <m:t>9</m:t>
                </m:r>
                <m:r>
                  <m:rPr>
                    <m:sty m:val="p"/>
                  </m:rPr>
                  <m:t>,</m:t>
                </m:r>
                <m:r>
                  <m:t> </m:t>
                </m:r>
                <m:sSub>
                  <m:e>
                    <m:r>
                      <m:t>U</m:t>
                    </m:r>
                  </m:e>
                  <m:sub>
                    <m:r>
                      <m:t>d</m:t>
                    </m:r>
                    <m:r>
                      <m:t>4</m:t>
                    </m:r>
                  </m:sub>
                </m:sSub>
                <m:r>
                  <m:rPr>
                    <m:sty m:val="p"/>
                  </m:rPr>
                  <m:t>=</m:t>
                </m:r>
                <m:r>
                  <m:t>1</m:t>
                </m:r>
                <m:r>
                  <m:rPr>
                    <m:sty m:val="p"/>
                  </m:rPr>
                  <m:t>/</m:t>
                </m:r>
                <m:r>
                  <m:t>47</m:t>
                </m:r>
                <m:r>
                  <m:rPr>
                    <m:sty m:val="p"/>
                  </m:rPr>
                  <m:t>.</m:t>
                </m:r>
              </m:e>
            </m:mr>
          </m:m>
        </m:oMath>
      </m:oMathPara>
    </w:p>
    <w:p>
      <w:pPr>
        <w:pStyle w:val="FirstParagraph"/>
      </w:pPr>
      <w:r>
        <w:t xml:space="preserve">Given these transition frequencies, the sampling distributions of the underlying transition rates correspond to the following models:</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the Supplementary Materials for a more complete description of this workflow).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credible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credible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two case studies to illuminate contrasting contexts in which sampling uncertainty may be relevant. Case Study 1 is a comparative analysis across many species and populations, in which derived traits depend heavily on long-term survivorship inferred indirectly from stage-structured matrices, precisely the setting in which sampling uncertainty might compound. Case Study 2, by contrast, is a within-species time series in which the response variable is a directly observed count, the statistical model is closely tied to the raw data, and the question concerns an environmental driver rather than a demographic trait per se. Together, the two analyses bracket a range of typical uses of published MPMs and allow us to ask whether the consequences of sampling uncertainty are consistent across these contexts or depend on the nature of the analysis.</w:t>
      </w:r>
    </w:p>
    <w:bookmarkEnd w:id="29"/>
    <w:bookmarkStart w:id="30" w:name="X737385d5ee45ddac807f16f7cffd7ac99bd8839"/>
    <w:p>
      <w:pPr>
        <w:pStyle w:val="Heading2"/>
      </w:pPr>
      <w:r>
        <w:t xml:space="preserve">Case Study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 history variation (e.g. , Salguero-Gómez et al. , 2016; Healy et al. ,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the Supplementary Materials for further details). We then estimated mature life expectancy by summing over the survivorship trajectory, as in</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the Supplementary Materials for further details).</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further details in the Supplementary Materials).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To incorporate sampling uncertainty, we used a measurement error model (based on McElreath 2020, sec. 14.1.2) 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modelled based on the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of their respective sampling distributions (derived as described in the sampling-distribution section above), as in</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oMath>
      </m:oMathPara>
    </w:p>
    <w:p>
      <w:pPr>
        <w:pStyle w:val="FirstParagraph"/>
      </w:pPr>
      <m:oMathPara>
        <m:oMathParaPr>
          <m:jc m:val="center"/>
        </m:oMathParaPr>
        <m:oMath>
          <m:sSub>
            <m:e>
              <m:r>
                <m:t>x</m:t>
              </m:r>
            </m:e>
            <m:sub>
              <m:r>
                <m:t>i</m:t>
              </m:r>
              <m:r>
                <m:t>j</m:t>
              </m:r>
            </m:sub>
          </m:sSub>
          <m:r>
            <m:rPr>
              <m:sty m:val="p"/>
            </m:rPr>
            <m:t>∼</m:t>
          </m:r>
          <m:r>
            <m:rPr>
              <m:nor/>
              <m:sty m:val="p"/>
            </m:rPr>
            <m:t>Normal</m:t>
          </m:r>
          <m:d>
            <m:dPr>
              <m:begChr m:val="("/>
              <m:sepChr m:val=""/>
              <m:endChr m:val=")"/>
              <m:grow/>
            </m:dPr>
            <m:e>
              <m:sSub>
                <m:e>
                  <m:acc>
                    <m:accPr>
                      <m:chr m:val="‾"/>
                    </m:accPr>
                    <m:e>
                      <m:r>
                        <m:t>x</m:t>
                      </m:r>
                    </m:e>
                  </m:acc>
                </m:e>
                <m:sub>
                  <m:r>
                    <m:t>i</m:t>
                  </m:r>
                  <m:r>
                    <m:t>j</m:t>
                  </m:r>
                </m:sub>
              </m:sSub>
              <m:r>
                <m:rPr>
                  <m:sty m:val="p"/>
                </m:rPr>
                <m:t>,</m:t>
              </m:r>
              <m:sSubSup>
                <m:e>
                  <m:r>
                    <m:t>σ</m:t>
                  </m:r>
                </m:e>
                <m:sub>
                  <m:r>
                    <m:t>x</m:t>
                  </m:r>
                  <m:r>
                    <m:rPr>
                      <m:sty m:val="p"/>
                    </m:rPr>
                    <m:t>,</m:t>
                  </m:r>
                  <m:r>
                    <m:t>i</m:t>
                  </m:r>
                  <m:r>
                    <m:t>j</m:t>
                  </m:r>
                </m:sub>
                <m:sup>
                  <m:r>
                    <m:t>2</m:t>
                  </m:r>
                </m:sup>
              </m:sSubSup>
            </m:e>
          </m:d>
          <m:r>
            <m:rPr>
              <m:sty m:val="p"/>
            </m:rPr>
            <m:t>,</m:t>
          </m:r>
        </m:oMath>
      </m:oMathPara>
    </w:p>
    <w:p>
      <w:pPr>
        <w:pStyle w:val="FirstParagraph"/>
      </w:pPr>
      <m:oMathPara>
        <m:oMathParaPr>
          <m:jc m:val="center"/>
        </m:oMathParaPr>
        <m:oMath>
          <m:sSub>
            <m:e>
              <m:r>
                <m:t>y</m:t>
              </m:r>
            </m:e>
            <m:sub>
              <m:r>
                <m:t>i</m:t>
              </m:r>
              <m:r>
                <m:t>j</m:t>
              </m:r>
            </m:sub>
          </m:sSub>
          <m:r>
            <m:rPr>
              <m:sty m:val="p"/>
            </m:rPr>
            <m:t>∼</m:t>
          </m:r>
          <m:r>
            <m:rPr>
              <m:nor/>
              <m:sty m:val="p"/>
            </m:rPr>
            <m:t>Normal</m:t>
          </m:r>
          <m:d>
            <m:dPr>
              <m:begChr m:val="("/>
              <m:sepChr m:val=""/>
              <m:endChr m:val=")"/>
              <m:grow/>
            </m:dPr>
            <m:e>
              <m:sSub>
                <m:e>
                  <m:acc>
                    <m:accPr>
                      <m:chr m:val="‾"/>
                    </m:accPr>
                    <m:e>
                      <m:r>
                        <m:t>y</m:t>
                      </m:r>
                    </m:e>
                  </m:acc>
                </m:e>
                <m:sub>
                  <m:r>
                    <m:t>i</m:t>
                  </m:r>
                  <m:r>
                    <m:t>j</m:t>
                  </m:r>
                </m:sub>
              </m:sSub>
              <m:r>
                <m:rPr>
                  <m:sty m:val="p"/>
                </m:rPr>
                <m:t>,</m:t>
              </m:r>
              <m:sSubSup>
                <m:e>
                  <m:r>
                    <m:t>σ</m:t>
                  </m:r>
                </m:e>
                <m:sub>
                  <m:r>
                    <m:t>y</m:t>
                  </m:r>
                  <m:r>
                    <m:rPr>
                      <m:sty m:val="p"/>
                    </m:rPr>
                    <m:t>,</m:t>
                  </m:r>
                  <m:r>
                    <m:t>i</m:t>
                  </m:r>
                  <m:r>
                    <m:t>j</m:t>
                  </m:r>
                </m:sub>
                <m:sup>
                  <m:r>
                    <m:t>2</m:t>
                  </m:r>
                </m:sup>
              </m:sSubSup>
            </m:e>
          </m:d>
          <m:r>
            <m:rPr>
              <m:sty m:val="p"/>
            </m:rPr>
            <m:t>.</m:t>
          </m:r>
        </m:oMath>
      </m:oMathPara>
    </w:p>
    <w:p>
      <w:pPr>
        <w:pStyle w:val="FirstParagraph"/>
      </w:pPr>
      <w:r>
        <w:t xml:space="preserve">We fit the models described above using RStan (Stan Development Team 2025; Carpenter et al. 2017), with priors and settings as described in the Supplementary Materials.</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the Supplementary Materials.</w:t>
      </w:r>
    </w:p>
    <w:bookmarkEnd w:id="30"/>
    <w:bookmarkStart w:id="31" w:name="X225d76c27ee8e416a0695c8b196288d200854a5"/>
    <w:p>
      <w:pPr>
        <w:pStyle w:val="Heading2"/>
      </w:pPr>
      <w:r>
        <w:t xml:space="preserve">Case Study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In that study, transition rates were estimated using the methods described above (i.e. , as ratios of two integers),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from that of survival transitions, and that results from this case study should not be assumed to generalise to other transition types.</w:t>
      </w:r>
    </w:p>
    <w:p>
      <w:pPr>
        <w:pStyle w:val="BodyText"/>
      </w:pPr>
      <w:r>
        <w:t xml:space="preserve">We examined the effect of monthly temperature deviations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oMath>
      </m:oMathPara>
    </w:p>
    <w:p>
      <w:pPr>
        <w:pStyle w:val="FirstParagraph"/>
      </w:pPr>
      <w:r>
        <w:t xml:space="preserve">likelihood</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oMath>
      </m:oMathPara>
    </w:p>
    <w:p>
      <w:pPr>
        <w:pStyle w:val="FirstParagraph"/>
      </w:pPr>
      <w:r>
        <w:t xml:space="preserve">covariance matrix (row i, column j)</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t>Σ</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incorporate sampling uncertainty into our model, we model the raw counts underlying the recruitment point estimates using a Poisson distribution, as in</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oMath>
      </m:oMathPara>
    </w:p>
    <w:p>
      <w:pPr>
        <w:pStyle w:val="FirstParagraph"/>
      </w:pPr>
      <w:r>
        <w:t xml:space="preserve">likelihood</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oMath>
      </m:oMathPara>
    </w:p>
    <w:p>
      <w:pPr>
        <w:pStyle w:val="FirstParagraph"/>
      </w:pPr>
      <w:r>
        <w:t xml:space="preserve">year-specific intercepts</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t>Σ</m:t>
              </m:r>
            </m:e>
          </m:d>
        </m:oMath>
      </m:oMathPara>
    </w:p>
    <w:p>
      <w:pPr>
        <w:pStyle w:val="FirstParagraph"/>
      </w:pPr>
      <w:r>
        <w:t xml:space="preserve">climate coefficient for each monthly lag k</w:t>
      </w:r>
    </w:p>
    <w:p>
      <w:pPr>
        <w:pStyle w:val="BodyText"/>
      </w:pPr>
      <m:oMathPara>
        <m:oMathParaPr>
          <m:jc m:val="center"/>
        </m:oMathParaPr>
        <m:oMath>
          <m:sSub>
            <m:e>
              <m:r>
                <m:t>Σ</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oMath>
      </m:oMathPara>
    </w:p>
    <w:p>
      <w:pPr>
        <w:pStyle w:val="FirstParagraph"/>
      </w:pPr>
      <w:r>
        <w:t xml:space="preserve">covariance matrix (row i, column j)</w:t>
      </w:r>
    </w:p>
    <w:p>
      <w:pPr>
        <w:pStyle w:val="BodyText"/>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the Supplementary Materials.</w:t>
      </w:r>
    </w:p>
    <w:bookmarkEnd w:id="31"/>
    <w:bookmarkEnd w:id="32"/>
    <w:bookmarkStart w:id="35" w:name="results"/>
    <w:p>
      <w:pPr>
        <w:pStyle w:val="Heading1"/>
      </w:pPr>
      <w:r>
        <w:t xml:space="preserve">Results</w:t>
      </w:r>
    </w:p>
    <w:bookmarkStart w:id="33" w:name="X45780009aee89a82be8802d6a315b66af571112"/>
    <w:p>
      <w:pPr>
        <w:pStyle w:val="Heading2"/>
      </w:pPr>
      <w:r>
        <w:t xml:space="preserve">Case study #1: Comparative analysis of mortality trajectories</w:t>
      </w:r>
    </w:p>
    <w:p>
      <w:pPr>
        <w:pStyle w:val="FirstParagraph"/>
      </w:pPr>
      <w:r>
        <w:t xml:space="preserve">For our parameters of interest, life expectancy and shape, the estimated sampling-to-other variance ratios were 2.00 and 3.29,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the Supplementary Materials).</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 estimate model was centred slightly to the left of zero (P[β &gt; 0] = 0.250), whereas the corresponding posterior from the sampling uncertainty model was shifted somewhat to the right (P[β &gt; 0] = 0.685), indicating stronger evidence for a positive relationship between life expectancy and shape.</w:t>
      </w:r>
    </w:p>
    <w:p>
      <w:pPr>
        <w:pStyle w:val="BodyText"/>
      </w:pPr>
      <w:r>
        <w:t xml:space="preserve">Counterintuitively, there was less posterior uncertainty in β in the sampling uncertainty model than in the point 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3"/>
    <w:bookmarkStart w:id="34" w:name="X4a02ae50c8f0b3438ed9d0c93d1ff58c2ebcf12"/>
    <w:p>
      <w:pPr>
        <w:pStyle w:val="Heading2"/>
      </w:pPr>
      <w:r>
        <w:t xml:space="preserve">Case Study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 estimate model and the sampling uncertainty model were virtually identical (Fig.</w:t>
      </w:r>
      <w:r>
        <w:t xml:space="preserve"> </w:t>
      </w:r>
      <w:r>
        <w:t xml:space="preserve">5</w:t>
      </w:r>
      <w:r>
        <w:t xml:space="preserve">). Both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the full model specification in the Supplementary Materials), we again find that the point 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6.1% higher, and the 95% interval width for that estimatewas 10.5% higher, in the model incorporating sampling uncertainty compared with the point estimate model. A difference of this magnitude is unlikely to qualitatively change any inferences drawn from a model.</w:t>
      </w:r>
    </w:p>
    <w:bookmarkEnd w:id="34"/>
    <w:bookmarkEnd w:id="35"/>
    <w:bookmarkStart w:id="42" w:name="discussion"/>
    <w:p>
      <w:pPr>
        <w:pStyle w:val="Heading1"/>
      </w:pPr>
      <w:r>
        <w:t xml:space="preserve">Discussion</w:t>
      </w:r>
    </w:p>
    <w:bookmarkStart w:id="36"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case study, where the response variable was more directly linked to observed counts and less dependent on long-term survivorship.</w:t>
      </w:r>
    </w:p>
    <w:bookmarkEnd w:id="36"/>
    <w:bookmarkStart w:id="37"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pronounced sensitivity of certain demographic traits reflects both statistical and structural features of stage-structured matrix models. Traits such as life expectancy and the shape of the mortality distribution depend on survivorship at advanced ages, which in MPMs is inferred indirectly via age-from-stage methods. These estimates are therefore particularly sensitive to uncertainty in late-stage survival and to the coarse representation of age variation inherent in many published matrices, especially when analyses are anchored at reproductive maturity.</w:t>
      </w:r>
    </w:p>
    <w:p>
      <w:pPr>
        <w:pStyle w:val="BodyText"/>
      </w:pPr>
      <w:r>
        <w:t xml:space="preserve">Several features of MPM structure exacerbate this sensitivity. Among the species-averaged MPMs in COMPADRE, 35% include only a single reproductive stage class, providing no information on age-related variation among individuals that enter and remain in the reproductive class until death. Even among matrices with two or more reproductive stages, 28% have a time to quasi-stable distribution shorter than one life expectancy, limiting reliable mortality estimates to relatively young age classes. A particularly important source of distortion arises from boundary estimates of stage-specific survival, where point estimates approach either 0% or 100%. Such estimates are common in published matrices, often arising from small sample sizes or limited temporal replication, and can systematically displace point estimates of derived traits from the centre of their sampling distributions. These effects are not well captured by empirical bootstrapping, which cannot generate variation when all individuals experience the same outcome. Notably, survival estimates of 100% occur in 24% of species-averaged MPMs in COMPADRE (though only 7% in COMADRE), indicating that this is not a rare edge case.</w:t>
      </w:r>
    </w:p>
    <w:bookmarkEnd w:id="37"/>
    <w:bookmarkStart w:id="38"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Several diagnostic features can help identify analyses that are likely to be fragile:</w:t>
      </w:r>
    </w:p>
    <w:p>
      <w:pPr>
        <w:pStyle w:val="Compact"/>
        <w:numPr>
          <w:ilvl w:val="0"/>
          <w:numId w:val="1002"/>
        </w:numPr>
      </w:pPr>
      <w:r>
        <w:t xml:space="preserve">Stage-specific survival estimates equal or close to 1 or 0</w:t>
      </w:r>
    </w:p>
    <w:p>
      <w:pPr>
        <w:pStyle w:val="Compact"/>
        <w:numPr>
          <w:ilvl w:val="0"/>
          <w:numId w:val="1002"/>
        </w:numPr>
      </w:pPr>
      <w:r>
        <w:t xml:space="preserve">Very small sample sizes underlying key transitions</w:t>
      </w:r>
    </w:p>
    <w:p>
      <w:pPr>
        <w:pStyle w:val="Compact"/>
        <w:numPr>
          <w:ilvl w:val="0"/>
          <w:numId w:val="1002"/>
        </w:numPr>
      </w:pPr>
      <w:r>
        <w:t xml:space="preserve">Matrices with only a single reproductive stage class</w:t>
      </w:r>
    </w:p>
    <w:p>
      <w:pPr>
        <w:pStyle w:val="Compact"/>
        <w:numPr>
          <w:ilvl w:val="0"/>
          <w:numId w:val="1002"/>
        </w:numPr>
      </w:pPr>
      <w:r>
        <w:t xml:space="preserve">Time to quasi-stable distribution that is short relative to estimated life expectancy</w:t>
      </w:r>
    </w:p>
    <w:p>
      <w:pPr>
        <w:pStyle w:val="FirstParagraph"/>
      </w:pPr>
      <w:r>
        <w:t xml:space="preserve">When one or more of these features are present, point estimates derived from MPMs may be biased or overconfident, even when they appear precise. Importantly, the absence of a detectable effect of sampling uncertainty in some analyses, such as our climate–recruitment case study, should not be taken as evidence that uncertainty propagation is unnecessary. Rather, it underscores the need for a trait- and context-specific assessment of robustness.</w:t>
      </w:r>
    </w:p>
    <w:bookmarkEnd w:id="38"/>
    <w:bookmarkStart w:id="39"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39"/>
    <w:bookmarkStart w:id="40"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needed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the Supplementary Materials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0"/>
    <w:bookmarkStart w:id="41"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not 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1"/>
    <w:bookmarkEnd w:id="42"/>
    <w:bookmarkStart w:id="43"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inclusion of those matrices in our analyses. This work was supported by a grant from the Independent Research Fund Denmark (grant 6108-00467B).</w:t>
      </w:r>
    </w:p>
    <w:bookmarkEnd w:id="43"/>
    <w:bookmarkStart w:id="44" w:name="data-availability"/>
    <w:p>
      <w:pPr>
        <w:pStyle w:val="Heading1"/>
      </w:pPr>
      <w:r>
        <w:t xml:space="preserve">Data availability</w:t>
      </w:r>
    </w:p>
    <w:p>
      <w:pPr>
        <w:pStyle w:val="FirstParagraph"/>
      </w:pPr>
      <w:r>
        <w:t xml:space="preserve">Data and code required to reproduce our analyses are archived on Zenodo ([DOI to be added upon deposition]).</w:t>
      </w:r>
    </w:p>
    <w:p>
      <w:r>
        <w:br w:type="page"/>
      </w:r>
    </w:p>
    <w:bookmarkEnd w:id="44"/>
    <w:bookmarkStart w:id="48"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p>
    <w:p>
      <w:pPr>
        <w:pStyle w:val="BodyText"/>
      </w:pPr>
      <w:r>
        <w:t xml:space="preserve">Bailey, R. T. (1997) Estimation from zero-failure data.</w:t>
      </w:r>
      <w:r>
        <w:t xml:space="preserve"> </w:t>
      </w:r>
      <w:r>
        <w:rPr>
          <w:i/>
          <w:iCs/>
        </w:rPr>
        <w:t xml:space="preserve">Risk Analysis</w:t>
      </w:r>
      <w:r>
        <w:t xml:space="preserve">, 17, 375-380.</w:t>
      </w:r>
    </w:p>
    <w:p>
      <w:pPr>
        <w:pStyle w:val="BodyText"/>
      </w:pPr>
      <w:r>
        <w:t xml:space="preserve">Baudisch, A. (2011) The pace and shape of ageing.</w:t>
      </w:r>
      <w:r>
        <w:t xml:space="preserve"> </w:t>
      </w:r>
      <w:r>
        <w:rPr>
          <w:i/>
          <w:iCs/>
        </w:rPr>
        <w:t xml:space="preserve">Methods in Ecology and Evolution</w:t>
      </w:r>
      <w:r>
        <w:t xml:space="preserve">, 2, 375-382.</w:t>
      </w:r>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p>
    <w:p>
      <w:pPr>
        <w:pStyle w:val="BodyText"/>
      </w:pPr>
      <w:r>
        <w:t xml:space="preserve">Caswell, H. (2001) Matrix population models: construction, analysis, and interpretation,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45">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p>
    <w:p>
      <w:pPr>
        <w:pStyle w:val="BodyText"/>
      </w:pPr>
      <w:r>
        <w:t xml:space="preserve">McElreath, R. (2020) Statistical rethinking: A Bayesian course with examples in R and Stan, 2nd ed. Chapman and Hall/CRC.</w:t>
      </w:r>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p>
    <w:p>
      <w:pPr>
        <w:pStyle w:val="BodyText"/>
      </w:pPr>
      <w:r>
        <w:t xml:space="preserve">Myhrvold, N. P., Baldridge, E., Chan, B., Sivam, D., Freeman, D. L., &amp; Ernest, S. M. (2015) An amniote life-history database to perform comparative analyses with birds, mammals, and reptiles.</w:t>
      </w:r>
      <w:r>
        <w:t xml:space="preserve"> </w:t>
      </w:r>
      <w:r>
        <w:rPr>
          <w:i/>
          <w:iCs/>
        </w:rPr>
        <w:t xml:space="preserve">Ecology</w:t>
      </w:r>
      <w:r>
        <w:t xml:space="preserve">, 96, 3109-3109.</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p>
    <w:p>
      <w:pPr>
        <w:pStyle w:val="BodyText"/>
      </w:pPr>
      <w:r>
        <w:t xml:space="preserve">Simmonds, E. G., &amp;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46">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47">
        <w:r>
          <w:rPr>
            <w:rStyle w:val="Hyperlink"/>
          </w:rPr>
          <w:t xml:space="preserve">https://mc-stan.org/</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p>
    <w:p>
      <w:pPr>
        <w:pStyle w:val="BodyText"/>
      </w:pPr>
      <w:r>
        <w:t xml:space="preserve">Wrycza, T. F., Missov, T. I., and Baudisch, A. (2015) Quantifying the shape of aging.</w:t>
      </w:r>
      <w:r>
        <w:t xml:space="preserve"> </w:t>
      </w:r>
      <w:r>
        <w:rPr>
          <w:i/>
          <w:iCs/>
        </w:rPr>
        <w:t xml:space="preserve">PloS ONE</w:t>
      </w:r>
      <w:r>
        <w:t xml:space="preserve">, 10, e0119163.</w:t>
      </w:r>
    </w:p>
    <w:p>
      <w:r>
        <w:br w:type="page"/>
      </w:r>
    </w:p>
    <w:bookmarkEnd w:id="48"/>
    <w:bookmarkStart w:id="50" w:name="tables"/>
    <w:p>
      <w:pPr>
        <w:pStyle w:val="Heading1"/>
      </w:pPr>
      <w:r>
        <w:t xml:space="preserve">Tables</w:t>
      </w:r>
    </w:p>
    <w:p>
      <w:pPr>
        <w:pStyle w:val="TableCaption"/>
      </w:pPr>
      <w:bookmarkStart w:id="49" w:name="tab:table-case1-var"/>
      <w:bookmarkEnd w:id="49"/>
      <w:r>
        <w:t xml:space="preserve">Table 1:</w:t>
      </w:r>
      <w:r>
        <w:t xml:space="preserve"> </w:t>
      </w:r>
      <w:r>
        <w:t xml:space="preserve">Sampling-to-other variance ratios for key demographic parameters in case study 1. Ratios greater than 1 indicate that variance attributable to transition-rate sampling uncertainty exceeds residual biological variance among populations/species.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16"/>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3.29</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5"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1.07</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04"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pmature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1.59</w:t>
            </w:r>
          </w:p>
        </w:tc>
      </w:tr>
    </w:tbl>
    <w:p>
      <w:r>
        <w:br w:type="page"/>
      </w:r>
    </w:p>
    <w:bookmarkEnd w:id="50"/>
    <w:bookmarkStart w:id="71" w:name="figures"/>
    <w:p>
      <w:pPr>
        <w:pStyle w:val="Heading1"/>
      </w:pPr>
      <w:r>
        <w:t xml:space="preserve">Figures</w:t>
      </w:r>
    </w:p>
    <w:p>
      <w:pPr>
        <w:pStyle w:val="CaptionedFigure"/>
      </w:pPr>
      <w:r>
        <w:drawing>
          <wp:inline>
            <wp:extent cx="5943600" cy="1981199"/>
            <wp:effectExtent b="0" l="0" r="0" t="0"/>
            <wp:docPr descr="Figure 1: Sampling distributions of transition rates for the focal single-MPM example (Agrimonia eupatoria, population B). Point estimates are compared with bootstrap-based uncertainty distributions derived from observed transition counts, showing that several matrix elements are weakly estimated from finite samples." title="" id="52" name="Picture"/>
            <a:graphic>
              <a:graphicData uri="http://schemas.openxmlformats.org/drawingml/2006/picture">
                <pic:pic>
                  <pic:nvPicPr>
                    <pic:cNvPr descr="../../figures/fig1_top.png" id="53" name="Picture"/>
                    <pic:cNvPicPr>
                      <a:picLocks noChangeArrowheads="1" noChangeAspect="1"/>
                    </pic:cNvPicPr>
                  </pic:nvPicPr>
                  <pic:blipFill>
                    <a:blip r:embed="rId51"/>
                    <a:stretch>
                      <a:fillRect/>
                    </a:stretch>
                  </pic:blipFill>
                  <pic:spPr bwMode="auto">
                    <a:xfrm>
                      <a:off x="0" y="0"/>
                      <a:ext cx="5943600" cy="1981199"/>
                    </a:xfrm>
                    <a:prstGeom prst="rect">
                      <a:avLst/>
                    </a:prstGeom>
                    <a:noFill/>
                    <a:ln w="9525">
                      <a:noFill/>
                      <a:headEnd/>
                      <a:tailEnd/>
                    </a:ln>
                  </pic:spPr>
                </pic:pic>
              </a:graphicData>
            </a:graphic>
          </wp:inline>
        </w:drawing>
      </w:r>
    </w:p>
    <w:p>
      <w:pPr>
        <w:pStyle w:val="ImageCaption"/>
      </w:pPr>
      <w:bookmarkStart w:id="54" w:name="fig:fig-main-1a"/>
      <w:bookmarkEnd w:id="54"/>
      <w:r>
        <w:t xml:space="preserve">Figure 1: Sampling distributions of transition rates for the focal single-MPM example (</w:t>
      </w:r>
      <w:r>
        <w:rPr>
          <w:i/>
          <w:iCs/>
        </w:rPr>
        <w:t xml:space="preserve">Agrimonia eupatoria</w:t>
      </w:r>
      <w:r>
        <w:t xml:space="preserve">, population B). Point estimates are compared with bootstrap-based uncertainty distributions derived from observed transition counts, showing that several matrix elements are weakly estimated from finite samples.</w:t>
      </w:r>
    </w:p>
    <w:p>
      <w:r>
        <w:br w:type="page"/>
      </w:r>
    </w:p>
    <w:p>
      <w:pPr>
        <w:pStyle w:val="CaptionedFigure"/>
      </w:pPr>
      <w:r>
        <w:drawing>
          <wp:inline>
            <wp:extent cx="5943600" cy="2447364"/>
            <wp:effectExtent b="0" l="0" r="0" t="0"/>
            <wp:docPr descr="Figure 2: Sampling distributions of demographic quantities derived from the focal single MPM. Uncertainty in transition rates propagates to substantial uncertainty in derived parameters, with the largest spread in quantities that depend on long-term survivorship and reproduction." title="" id="56" name="Picture"/>
            <a:graphic>
              <a:graphicData uri="http://schemas.openxmlformats.org/drawingml/2006/picture">
                <pic:pic>
                  <pic:nvPicPr>
                    <pic:cNvPr descr="../../figures/fig1_bottom.png" id="57" name="Picture"/>
                    <pic:cNvPicPr>
                      <a:picLocks noChangeArrowheads="1" noChangeAspect="1"/>
                    </pic:cNvPicPr>
                  </pic:nvPicPr>
                  <pic:blipFill>
                    <a:blip r:embed="rId55"/>
                    <a:stretch>
                      <a:fillRect/>
                    </a:stretch>
                  </pic:blipFill>
                  <pic:spPr bwMode="auto">
                    <a:xfrm>
                      <a:off x="0" y="0"/>
                      <a:ext cx="5943600" cy="2447364"/>
                    </a:xfrm>
                    <a:prstGeom prst="rect">
                      <a:avLst/>
                    </a:prstGeom>
                    <a:noFill/>
                    <a:ln w="9525">
                      <a:noFill/>
                      <a:headEnd/>
                      <a:tailEnd/>
                    </a:ln>
                  </pic:spPr>
                </pic:pic>
              </a:graphicData>
            </a:graphic>
          </wp:inline>
        </w:drawing>
      </w:r>
    </w:p>
    <w:p>
      <w:pPr>
        <w:pStyle w:val="ImageCaption"/>
      </w:pPr>
      <w:bookmarkStart w:id="58" w:name="fig:fig-main-1b"/>
      <w:bookmarkEnd w:id="58"/>
      <w:r>
        <w:t xml:space="preserve">Figure 2: Sampling distributions of demographic quantities derived from the focal single MPM. Uncertainty in transition rates propagates to substantial uncertainty in derived parameters, with the largest spread in quantities that depend on long-term survivorship and reproduction.</w:t>
      </w:r>
    </w:p>
    <w:p>
      <w:r>
        <w:br w:type="page"/>
      </w:r>
    </w:p>
    <w:p>
      <w:pPr>
        <w:pStyle w:val="CaptionedFigure"/>
      </w:pPr>
      <w:r>
        <w:drawing>
          <wp:inline>
            <wp:extent cx="5046020" cy="6880936"/>
            <wp:effectExtent b="0" l="0" r="0" t="0"/>
            <wp:docPr descr="Figure 3: Case study 1 comparison of point estimates versus sampling-distribution summaries for population-level life expectancy and shape. Distributions are shown for estimates derived directly from matrix point estimates and for uncertainty-aware summaries, showing systematic shifts and shrinkage in extreme values when sampling uncertainty is propagated." title="" id="60" name="Picture"/>
            <a:graphic>
              <a:graphicData uri="http://schemas.openxmlformats.org/drawingml/2006/picture">
                <pic:pic>
                  <pic:nvPicPr>
                    <pic:cNvPr descr="../../figures/fig2_shape_l0_distributions.png" id="61" name="Picture"/>
                    <pic:cNvPicPr>
                      <a:picLocks noChangeArrowheads="1" noChangeAspect="1"/>
                    </pic:cNvPicPr>
                  </pic:nvPicPr>
                  <pic:blipFill>
                    <a:blip r:embed="rId59"/>
                    <a:stretch>
                      <a:fillRect/>
                    </a:stretch>
                  </pic:blipFill>
                  <pic:spPr bwMode="auto">
                    <a:xfrm>
                      <a:off x="0" y="0"/>
                      <a:ext cx="5046020" cy="6880936"/>
                    </a:xfrm>
                    <a:prstGeom prst="rect">
                      <a:avLst/>
                    </a:prstGeom>
                    <a:noFill/>
                    <a:ln w="9525">
                      <a:noFill/>
                      <a:headEnd/>
                      <a:tailEnd/>
                    </a:ln>
                  </pic:spPr>
                </pic:pic>
              </a:graphicData>
            </a:graphic>
          </wp:inline>
        </w:drawing>
      </w:r>
    </w:p>
    <w:p>
      <w:pPr>
        <w:pStyle w:val="ImageCaption"/>
      </w:pPr>
      <w:bookmarkStart w:id="62" w:name="fig:fig-main-2"/>
      <w:bookmarkEnd w:id="62"/>
      <w:r>
        <w:t xml:space="preserve">Figure 3: Case study 1 comparison of point estimates versus sampling-distribution summaries for population-level life expectancy and shape. Distributions are shown for estimates derived directly from matrix point estimates and for uncertainty-aware summaries, showing systematic shifts and shrinkage in extreme values when sampling uncertainty is propagated.</w:t>
      </w:r>
    </w:p>
    <w:p>
      <w:r>
        <w:br w:type="page"/>
      </w:r>
    </w:p>
    <w:p>
      <w:pPr>
        <w:pStyle w:val="CaptionedFigure"/>
      </w:pPr>
      <w:r>
        <w:drawing>
          <wp:inline>
            <wp:extent cx="5943600" cy="2936837"/>
            <wp:effectExtent b="0" l="0" r="0" t="0"/>
            <wp:docPr descr="Figure 4: Case study 1 relationship between life expectancy and shape under models with and without uncertainty propagation. Panel A shows data support after replacing point estimates with sampling-distribution summaries; panel B shows posterior distributions for the slope parameter (β). This figure shows that accounting for sampling uncertainty shifts posterior support towards a positive association." title="" id="64" name="Picture"/>
            <a:graphic>
              <a:graphicData uri="http://schemas.openxmlformats.org/drawingml/2006/picture">
                <pic:pic>
                  <pic:nvPicPr>
                    <pic:cNvPr descr="../../figures/fig3_shape_l0_regression.png" id="65" name="Picture"/>
                    <pic:cNvPicPr>
                      <a:picLocks noChangeArrowheads="1" noChangeAspect="1"/>
                    </pic:cNvPicPr>
                  </pic:nvPicPr>
                  <pic:blipFill>
                    <a:blip r:embed="rId63"/>
                    <a:stretch>
                      <a:fillRect/>
                    </a:stretch>
                  </pic:blipFill>
                  <pic:spPr bwMode="auto">
                    <a:xfrm>
                      <a:off x="0" y="0"/>
                      <a:ext cx="5943600" cy="2936837"/>
                    </a:xfrm>
                    <a:prstGeom prst="rect">
                      <a:avLst/>
                    </a:prstGeom>
                    <a:noFill/>
                    <a:ln w="9525">
                      <a:noFill/>
                      <a:headEnd/>
                      <a:tailEnd/>
                    </a:ln>
                  </pic:spPr>
                </pic:pic>
              </a:graphicData>
            </a:graphic>
          </wp:inline>
        </w:drawing>
      </w:r>
    </w:p>
    <w:p>
      <w:pPr>
        <w:pStyle w:val="ImageCaption"/>
      </w:pPr>
      <w:bookmarkStart w:id="66" w:name="fig:fig-main-3"/>
      <w:bookmarkEnd w:id="66"/>
      <w:r>
        <w:t xml:space="preserve">Figure 4: Case study 1 relationship between life expectancy and shape under models with and without uncertainty propagation. Panel A shows data support after replacing point estimates with sampling-distribution summaries; panel B shows posterior distributions for the slope parameter (β). This figure shows that accounting for sampling uncertainty shifts posterior support towards a positive association.</w:t>
      </w:r>
    </w:p>
    <w:p>
      <w:r>
        <w:br w:type="page"/>
      </w:r>
    </w:p>
    <w:p>
      <w:pPr>
        <w:pStyle w:val="CaptionedFigure"/>
      </w:pPr>
      <w:r>
        <w:drawing>
          <wp:inline>
            <wp:extent cx="5734113" cy="4128561"/>
            <wp:effectExtent b="0" l="0" r="0" t="0"/>
            <wp:docPr descr="Figure 5: Case study 2 climate effects on recruitment in Silene spaldingii. Monthly-lag and spring-temperature models are shown for both point-estimate and uncertainty-aware formulations; posterior coefficient estimates and interval widths are similar across formulations, showing limited sensitivity of this analysis to transition-rate sampling uncertainty." title="" id="68" name="Picture"/>
            <a:graphic>
              <a:graphicData uri="http://schemas.openxmlformats.org/drawingml/2006/picture">
                <pic:pic>
                  <pic:nvPicPr>
                    <pic:cNvPr descr="../../figures/clim.png" id="69" name="Picture"/>
                    <pic:cNvPicPr>
                      <a:picLocks noChangeArrowheads="1" noChangeAspect="1"/>
                    </pic:cNvPicPr>
                  </pic:nvPicPr>
                  <pic:blipFill>
                    <a:blip r:embed="rId67"/>
                    <a:stretch>
                      <a:fillRect/>
                    </a:stretch>
                  </pic:blipFill>
                  <pic:spPr bwMode="auto">
                    <a:xfrm>
                      <a:off x="0" y="0"/>
                      <a:ext cx="5734113" cy="4128561"/>
                    </a:xfrm>
                    <a:prstGeom prst="rect">
                      <a:avLst/>
                    </a:prstGeom>
                    <a:noFill/>
                    <a:ln w="9525">
                      <a:noFill/>
                      <a:headEnd/>
                      <a:tailEnd/>
                    </a:ln>
                  </pic:spPr>
                </pic:pic>
              </a:graphicData>
            </a:graphic>
          </wp:inline>
        </w:drawing>
      </w:r>
    </w:p>
    <w:p>
      <w:pPr>
        <w:pStyle w:val="ImageCaption"/>
      </w:pPr>
      <w:bookmarkStart w:id="70" w:name="fig:fig-main-4"/>
      <w:bookmarkEnd w:id="70"/>
      <w:r>
        <w:t xml:space="preserve">Figure 5: Case study 2 climate effects on recruitment in</w:t>
      </w:r>
      <w:r>
        <w:t xml:space="preserve"> </w:t>
      </w:r>
      <w:r>
        <w:rPr>
          <w:i/>
          <w:iCs/>
        </w:rPr>
        <w:t xml:space="preserve">Silene spaldingii</w:t>
      </w:r>
      <w:r>
        <w:t xml:space="preserve">. Monthly-lag and spring-temperature models are shown for both point-estimate and uncertainty-aware formulations; posterior coefficient estimates and interval widths are similar across formulations, showing limited sensitivity of this analysis to transition-rate sampling uncertainty.</w:t>
      </w:r>
    </w:p>
    <w:bookmarkEnd w:id="71"/>
    <w:sectPr w:rsidR="00445ECF" w:rsidRPr="000A5324">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A5324"/>
    <w:rsid w:val="00293780"/>
    <w:rsid w:val="00445ECF"/>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293780"/>
    <w:pPr>
      <w:keepNext/>
      <w:keepLines/>
    </w:pPr>
    <w:rPr>
      <w:b w:val="0"/>
      <w:bCs w:val="0"/>
      <w:sz w:val="24"/>
      <w:szCs w:val="24"/>
    </w:rPr>
  </w:style>
  <w:style w:styleId="Date" w:type="paragraph">
    <w:name w:val="Date"/>
    <w:basedOn w:val="Title"/>
    <w:next w:val="BodyText"/>
    <w:qFormat/>
    <w:rsid w:val="00293780"/>
    <w:pPr>
      <w:keepNext/>
      <w:keepLines/>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45" Target="https://doi.org/10.1038/s41559-019-0938-7" TargetMode="External" /><Relationship Type="http://schemas.openxmlformats.org/officeDocument/2006/relationships/hyperlink" Id="rId46" Target="https://doi.org/10.1111/2041-210X.14276" TargetMode="External" /><Relationship Type="http://schemas.openxmlformats.org/officeDocument/2006/relationships/hyperlink" Id="rId47" Target="https://mc-stan.org/"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38/s41559-019-0938-7" TargetMode="External" /><Relationship Type="http://schemas.openxmlformats.org/officeDocument/2006/relationships/hyperlink" Id="rId46" Target="https://doi.org/10.1111/2041-210X.14276" TargetMode="External" /><Relationship Type="http://schemas.openxmlformats.org/officeDocument/2006/relationships/hyperlink" Id="rId47" Target="https://mc-stan.org/"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2026-02-18T16:07:45Z</dcterms:created>
  <dcterms:modified xsi:type="dcterms:W3CDTF">2026-02-18T16:07:45Z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