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</w:t>
      </w:r>
    </w:p>
    <w:p>
      <w:pPr>
        <w:pStyle w:val="Subtitle"/>
      </w:pPr>
      <w:r>
        <w:t xml:space="preserve">When does sampling uncertainty matter in matrix population models? Evidence from published projection matrices</w:t>
      </w:r>
    </w:p>
    <w:bookmarkStart w:id="20" w:name="authors"/>
    <w:p>
      <w:pPr>
        <w:pStyle w:val="Heading1"/>
      </w:pPr>
      <w:r>
        <w:t xml:space="preserve">Authors</w:t>
      </w:r>
    </w:p>
    <w:p>
      <w:pPr>
        <w:pStyle w:val="FirstParagraph"/>
      </w:pPr>
      <w:r>
        <w:t xml:space="preserve">Owen R. Jones*</w:t>
      </w:r>
      <w:r>
        <w:rPr>
          <w:vertAlign w:val="superscript"/>
        </w:rPr>
        <w:t xml:space="preserve">1,2</w:t>
      </w:r>
      <w:r>
        <w:t xml:space="preserve">, Patrick Barks</w:t>
      </w:r>
      <w:r>
        <w:rPr>
          <w:vertAlign w:val="superscript"/>
        </w:rPr>
        <w:t xml:space="preserve">1</w:t>
      </w:r>
      <w:r>
        <w:t xml:space="preserve">, Emily G. Simmonds</w:t>
      </w:r>
      <w:r>
        <w:rPr>
          <w:vertAlign w:val="superscript"/>
        </w:rPr>
        <w:t xml:space="preserve">2</w:t>
      </w:r>
    </w:p>
    <w:bookmarkEnd w:id="20"/>
    <w:bookmarkStart w:id="21" w:name="affiliations"/>
    <w:p>
      <w:pPr>
        <w:pStyle w:val="Heading1"/>
      </w:pPr>
      <w:r>
        <w:t xml:space="preserve">Affiliations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Biology, University of Southern Denmark, Odense, Denmark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Institute of Ecology and Evolution, School of Biological Sciences, University of Edinburgh, Edinburgh, UK</w:t>
      </w:r>
    </w:p>
    <w:bookmarkEnd w:id="21"/>
    <w:bookmarkStart w:id="23" w:name="corresponding-author"/>
    <w:p>
      <w:pPr>
        <w:pStyle w:val="Heading1"/>
      </w:pPr>
      <w:r>
        <w:t xml:space="preserve">Corresponding author</w:t>
      </w:r>
    </w:p>
    <w:p>
      <w:pPr>
        <w:pStyle w:val="Compact"/>
        <w:numPr>
          <w:ilvl w:val="0"/>
          <w:numId w:val="1001"/>
        </w:numPr>
      </w:pPr>
      <w:r>
        <w:t xml:space="preserve">Owen R. Jones,</w:t>
      </w:r>
      <w:r>
        <w:t xml:space="preserve"> </w:t>
      </w:r>
      <w:hyperlink r:id="rId22">
        <w:r>
          <w:rPr>
            <w:rStyle w:val="Hyperlink"/>
          </w:rPr>
          <w:t xml:space="preserve">jones@biology.sdu.dk</w:t>
        </w:r>
      </w:hyperlink>
    </w:p>
    <w:bookmarkEnd w:id="23"/>
    <w:bookmarkStart w:id="30" w:name="supplementary-tables"/>
    <w:p>
      <w:pPr>
        <w:pStyle w:val="Heading1"/>
      </w:pPr>
      <w:r>
        <w:t xml:space="preserve">Supplementary Tables</w:t>
      </w:r>
    </w:p>
    <w:p>
      <w:pPr>
        <w:pStyle w:val="TableCaption"/>
      </w:pPr>
      <w:bookmarkStart w:id="24" w:name="tab:table-fig1-derived"/>
      <w:bookmarkEnd w:id="24"/>
      <w:r>
        <w:t xml:space="preserve">Table 1:</w:t>
      </w:r>
      <w:r>
        <w:t xml:space="preserve"> </w:t>
      </w:r>
      <w:r>
        <w:t xml:space="preserve">Single-MPM derived-parameter summary for the focal *Agrimonia eupatoria* example. Reported values are point estimates and uncertainty intervals from bootstrap sampling distributions, showing substantial uncertainty for several derived demographic quantities.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43"/>
        <w:gridCol w:w="1132"/>
        <w:gridCol w:w="1511"/>
        <w:gridCol w:w="1511"/>
        <w:gridCol w:w="1805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95%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Upper 95%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 estimate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Pop.~growth~rate~(italic(lambda))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0.956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Damping~ratio~(italic(rho))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1.310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Repro.~value~(Veg.)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Generation~time~(italic(T))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31.500</w:t>
            </w:r>
          </w:p>
        </w:tc>
      </w:tr>
      <w:tr>
        <w:trPr>
          <w:trHeight w:val="618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Life~expectancy~(italic(l[0]))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17.700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7.840</w:t>
            </w:r>
          </w:p>
        </w:tc>
      </w:tr>
    </w:tbl>
    <w:p>
      <w:r>
        <w:br w:type="page"/>
      </w:r>
    </w:p>
    <w:p>
      <w:pPr>
        <w:pStyle w:val="TableCaption"/>
      </w:pPr>
      <w:bookmarkStart w:id="25" w:name="tab:table-fig1-mean"/>
      <w:bookmarkEnd w:id="25"/>
      <w:r>
        <w:t xml:space="preserve">Table 2:</w:t>
      </w:r>
      <w:r>
        <w:t xml:space="preserve"> </w:t>
      </w:r>
      <w:r>
        <w:t xml:space="preserve">Mean-MPM derived-parameter summary for the focal example. Point estimates are compared with sampling-distribution summaries to show how pooling/averaging changes central tendency and uncertainty relative to the single-MPM case.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43"/>
        <w:gridCol w:w="1132"/>
        <w:gridCol w:w="1511"/>
        <w:gridCol w:w="1511"/>
        <w:gridCol w:w="1805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95%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Upper 95%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 estimate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Life~expectancy~(italic(l[0]))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1.930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Pop.~growth~rate~(italic(lambda))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</w:t>
            </w:r>
          </w:p>
        </w:tc>
      </w:tr>
      <w:tr>
        <w:trPr>
          <w:trHeight w:val="620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Damping~ratio~(italic(rho))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1.370</w:t>
            </w:r>
          </w:p>
        </w:tc>
      </w:tr>
    </w:tbl>
    <w:p>
      <w:r>
        <w:br w:type="page"/>
      </w:r>
    </w:p>
    <w:p>
      <w:pPr>
        <w:pStyle w:val="TableCaption"/>
      </w:pPr>
      <w:bookmarkStart w:id="26" w:name="tab:table-case1-beta"/>
      <w:bookmarkEnd w:id="26"/>
      <w:r>
        <w:t xml:space="preserve">Table 3:</w:t>
      </w:r>
      <w:r>
        <w:t xml:space="preserve"> </w:t>
      </w:r>
      <w:r>
        <w:t xml:space="preserve">Case study 1 posterior summary for the slope parameter (β) in the life expectancy-shape model. The uncertainty-aware model shows greater posterior support for β &gt; 0 than the point-estimate model.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41"/>
        <w:gridCol w:w="1622"/>
        <w:gridCol w:w="1511"/>
        <w:gridCol w:w="1511"/>
        <w:gridCol w:w="1505"/>
      </w:tblGrid>
      <w:tr>
        <w:trPr>
          <w:trHeight w:val="61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95%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Upper 95%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P(beta &gt; 0)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8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0.685</w:t>
            </w:r>
          </w:p>
        </w:tc>
      </w:tr>
    </w:tbl>
    <w:p>
      <w:r>
        <w:br w:type="page"/>
      </w:r>
    </w:p>
    <w:p>
      <w:pPr>
        <w:pStyle w:val="TableCaption"/>
      </w:pPr>
      <w:bookmarkStart w:id="27" w:name="tab:table-case2-gprc"/>
      <w:bookmarkEnd w:id="27"/>
      <w:r>
        <w:t xml:space="preserve">Table 4:</w:t>
      </w:r>
      <w:r>
        <w:t xml:space="preserve"> </w:t>
      </w:r>
      <w:r>
        <w:t xml:space="preserve">Case study 2 Gaussian-process regression coefficients (monthly lags) for recruitment responses to temperature anomalies. Lag-specific posterior summaries are similar between point-estimate and uncertainty-aware model formulations.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78"/>
        <w:gridCol w:w="3541"/>
        <w:gridCol w:w="1622"/>
        <w:gridCol w:w="1511"/>
        <w:gridCol w:w="1511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beta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95%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Upper 95%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0.257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0.493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0.544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0.535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0.466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0.435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0.396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0.378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0.367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0.355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of point estimates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0.165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0.235</w:t>
            </w:r>
          </w:p>
        </w:tc>
      </w:tr>
      <w:tr>
        <w:trPr>
          <w:trHeight w:val="61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</w:t>
            </w:r>
          </w:p>
        </w:tc>
      </w:tr>
      <w:tr>
        <w:trPr>
          <w:trHeight w:val="61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0.485</w:t>
            </w:r>
          </w:p>
        </w:tc>
      </w:tr>
      <w:tr>
        <w:trPr>
          <w:trHeight w:val="61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0.544</w:t>
            </w:r>
          </w:p>
        </w:tc>
      </w:tr>
      <w:tr>
        <w:trPr>
          <w:trHeight w:val="61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0.583</w:t>
            </w:r>
          </w:p>
        </w:tc>
      </w:tr>
      <w:tr>
        <w:trPr>
          <w:trHeight w:val="61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0.596</w:t>
            </w:r>
          </w:p>
        </w:tc>
      </w:tr>
      <w:tr>
        <w:trPr>
          <w:trHeight w:val="61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</w:t>
            </w:r>
          </w:p>
        </w:tc>
      </w:tr>
      <w:tr>
        <w:trPr>
          <w:trHeight w:val="61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0.568</w:t>
            </w:r>
          </w:p>
        </w:tc>
      </w:tr>
      <w:tr>
        <w:trPr>
          <w:trHeight w:val="618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0.511</w:t>
            </w:r>
          </w:p>
        </w:tc>
      </w:tr>
      <w:tr>
        <w:trPr>
          <w:trHeight w:val="61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0.485</w:t>
            </w:r>
          </w:p>
        </w:tc>
      </w:tr>
      <w:tr>
        <w:trPr>
          <w:trHeight w:val="61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0.423</w:t>
            </w:r>
          </w:p>
        </w:tc>
      </w:tr>
      <w:tr>
        <w:trPr>
          <w:trHeight w:val="618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0.412</w:t>
            </w:r>
          </w:p>
        </w:tc>
      </w:tr>
      <w:tr>
        <w:trPr>
          <w:trHeight w:val="618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0.386</w:t>
            </w:r>
          </w:p>
        </w:tc>
      </w:tr>
      <w:tr>
        <w:trPr>
          <w:trHeight w:val="618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0.379</w:t>
            </w:r>
          </w:p>
        </w:tc>
      </w:tr>
      <w:tr>
        <w:trPr>
          <w:trHeight w:val="618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</w:tr>
      <w:tr>
        <w:trPr>
          <w:trHeight w:val="618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618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8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18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0.157</w:t>
            </w:r>
          </w:p>
        </w:tc>
      </w:tr>
      <w:tr>
        <w:trPr>
          <w:trHeight w:val="618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</w:t>
            </w:r>
          </w:p>
        </w:tc>
      </w:tr>
      <w:tr>
        <w:trPr>
          <w:trHeight w:val="618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</w:t>
            </w:r>
          </w:p>
        </w:tc>
      </w:tr>
      <w:tr>
        <w:trPr>
          <w:trHeight w:val="618" w:hRule="auto"/>
        </w:trPr>
        body48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 with sampling uncertainty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0.474</w:t>
            </w:r>
          </w:p>
        </w:tc>
      </w:tr>
    </w:tbl>
    <w:p>
      <w:r>
        <w:br w:type="page"/>
      </w:r>
    </w:p>
    <w:p>
      <w:pPr>
        <w:pStyle w:val="TableCaption"/>
      </w:pPr>
      <w:bookmarkStart w:id="28" w:name="tab:table-case2-spring"/>
      <w:bookmarkEnd w:id="28"/>
      <w:r>
        <w:t xml:space="preserve">Table 5:</w:t>
      </w:r>
      <w:r>
        <w:t xml:space="preserve"> </w:t>
      </w:r>
      <w:r>
        <w:t xml:space="preserve">Case study 2 posterior summary for the spring-temperature coefficient. Point-estimate and uncertainty-aware models yield similar medians and interval widths, indicating limited effect of uncertainty propagation on this coefficient.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10"/>
        <w:gridCol w:w="1132"/>
        <w:gridCol w:w="1511"/>
        <w:gridCol w:w="151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95%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Upper 95%</w:t>
            </w:r>
          </w:p>
        </w:tc>
      </w:tr>
      <w:tr>
        <w:trPr>
          <w:trHeight w:val="56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</w:t>
            </w:r>
          </w:p>
        </w:tc>
      </w:tr>
      <w:tr>
        <w:trPr>
          <w:trHeight w:val="577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</w:t>
            </w:r>
          </w:p>
        </w:tc>
      </w:tr>
    </w:tbl>
    <w:p>
      <w:r>
        <w:br w:type="page"/>
      </w:r>
    </w:p>
    <w:p>
      <w:pPr>
        <w:pStyle w:val="TableCaption"/>
      </w:pPr>
      <w:bookmarkStart w:id="29" w:name="tab:table-studies-sources"/>
      <w:bookmarkEnd w:id="29"/>
      <w:r>
        <w:t xml:space="preserve">Table 6:</w:t>
      </w:r>
      <w:r>
        <w:t xml:space="preserve"> </w:t>
      </w:r>
      <w:r>
        <w:t xml:space="preserve">Studies for which additional source materials were used to recover transition-level sample-size information. This table documents provenance for non-standard inputs that contributed directly to the analysis dataset.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877"/>
        <w:gridCol w:w="961"/>
        <w:gridCol w:w="3824"/>
        <w:gridCol w:w="9411"/>
      </w:tblGrid>
      <w:tr>
        <w:trPr>
          <w:trHeight w:val="57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Authors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Additional source/material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Andrello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Andrello Dracocephalum austriacum 2012; Andrello Cons Biol 2012b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Andrello; Bizoux; Barbet-Massin; Gaudeul; Nicolè; Till-Bottraud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10.1016/j.biocon.2011.12.012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Andrello Biol Cons 2012.xls; Tymen Independent Project 2008 (PDF)</w:t>
            </w:r>
          </w:p>
        </w:tc>
      </w:tr>
      <w:tr>
        <w:trPr>
          <w:trHeight w:val="61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Baldauf; Correa; Ferreira; Santos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10.1016/j.foreco.2015.06.022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Baldauf Forest Ecol Manag 2015 Appendix</w:t>
            </w:r>
          </w:p>
        </w:tc>
      </w:tr>
      <w:tr>
        <w:trPr>
          <w:trHeight w:val="62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Burns; Pardini; Schutzenhofer; Chung; Seidler; Knight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10.1890/12-1310.1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Burns Ecol 2013 – Pers. comm.</w:t>
            </w:r>
          </w:p>
        </w:tc>
      </w:tr>
      <w:tr>
        <w:trPr>
          <w:trHeight w:val="62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Csergő; Molnár; Garcia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10.1007/s10144-010-0249-y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Csergo Popul Ecol 2011 Stage structure.xls; Csergo Popul Ecol 2011 Transition matrices.xls</w:t>
            </w:r>
          </w:p>
        </w:tc>
      </w:tr>
      <w:tr>
        <w:trPr>
          <w:trHeight w:val="62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Dangremond; Knight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10.1890/09-0418.1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Dangremond et al. ESA 2008 (PDF)</w:t>
            </w:r>
          </w:p>
        </w:tc>
      </w:tr>
      <w:tr>
        <w:trPr>
          <w:trHeight w:val="62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Dominguez Lozano; Moreno Saiz; Schwartz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10.1016/j.jnc.2011.05.005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Iriondo Book 2009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Ellis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10.1890/11-1052.1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Crone Cons Biol 2013</w:t>
            </w:r>
          </w:p>
        </w:tc>
      </w:tr>
      <w:tr>
        <w:trPr>
          <w:trHeight w:val="62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Ellis; Williams; Lesica; Bell; Bierzychudek; Bowles; Crone; Doak; Ehrlén; Ellis-Adam; McEachern; Ganesan; Latham; Luijten; Kaye; Knight; Menges; Morris; Den Nijs; Oostermeijer; Quintana-Ascencio; Shelly; Stanley; Thorpe; Ticktin; Valverde; Weekley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10.1890/11-1052.1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Bell Book 2003.pdf</w:t>
            </w:r>
          </w:p>
        </w:tc>
      </w:tr>
      <w:tr>
        <w:trPr>
          <w:trHeight w:val="61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Evju; Halvorsen; Rydgren; Austrheim; Mysterud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10.1007/s11258-011-9906-2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Evju Plant Ecol 2011 Appendix</w:t>
            </w:r>
          </w:p>
        </w:tc>
      </w:tr>
      <w:tr>
        <w:trPr>
          <w:trHeight w:val="619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Gaoue; Ticktin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10.1111/j.1523-1739.2009.01345.x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Gaoue PhD thesis  2008.pdf</w:t>
            </w:r>
          </w:p>
        </w:tc>
      </w:tr>
      <w:tr>
        <w:trPr>
          <w:trHeight w:val="62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Gibert; Magda; Hazard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10.1371/journal.pone.0139919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Gibert; Magda; Hazard Oikos 2013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Gornish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Gornish AoB Plants Adv Adc 2013</w:t>
            </w:r>
          </w:p>
        </w:tc>
      </w:tr>
      <w:tr>
        <w:trPr>
          <w:trHeight w:val="62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Groenendijk; Eshete; Sterck; Zuidema; Bongers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10.1111/j.1365-2664.2011.02078.x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MSc thesis 2010</w:t>
            </w:r>
          </w:p>
        </w:tc>
      </w:tr>
      <w:tr>
        <w:trPr>
          <w:trHeight w:val="61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Haridas; Keeler; Tenhumberg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10.1890/13-1984.1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Keeler SW Nat 2011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Jacquemyns; Brys; Jongejans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10.1890/08-2321.1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Jacquemyn Ecol 2010 A2.html; Jacquemyn J Ecol 2010</w:t>
            </w:r>
          </w:p>
        </w:tc>
      </w:tr>
      <w:tr>
        <w:trPr>
          <w:trHeight w:val="605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Maines; Knochel; Seastedt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10.1890/ES13-00094.1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Maines Master Thesis 2013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Matlaga; Davis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10.1111/1365-2664.12057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Matlaga J Appl Ecol 2013 Appendix</w:t>
            </w:r>
          </w:p>
        </w:tc>
      </w:tr>
      <w:tr>
        <w:trPr>
          <w:trHeight w:val="605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Navarro; Galeano; Bernal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Warren PhD thesis 2008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Norghauer; Newbery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10.1890/10-2268.1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Norghauer Ecol Monog 2011 Appendix L.htm</w:t>
            </w:r>
          </w:p>
        </w:tc>
      </w:tr>
      <w:tr>
        <w:trPr>
          <w:trHeight w:val="62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Osunkoya; Perrett; Fernando; Clark; Raghu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10.1007/s10144-013-0364-7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Osunkoya Popul Ecol 2013 Supplementary material.pdf; Raghu Basic Appl Ecol 2014.pdf</w:t>
            </w:r>
          </w:p>
        </w:tc>
      </w:tr>
      <w:tr>
        <w:trPr>
          <w:trHeight w:val="62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Picard; Mortier; Chagneau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10.1016/j.ecolmodel.2010.06.010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Picard Ecol Model 2010 (PDF)</w:t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Sampaio; Scariot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10.1017/S0266467409990599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Portela Biodiv; Cons 2010 (PDF)</w:t>
            </w:r>
          </w:p>
        </w:tc>
      </w:tr>
      <w:tr>
        <w:trPr>
          <w:trHeight w:val="621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Scanga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10.1007/s11258-014-0344-9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Scanga PhD thesis 2009</w:t>
            </w:r>
          </w:p>
        </w:tc>
      </w:tr>
      <w:tr>
        <w:trPr>
          <w:trHeight w:val="62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Scanga; Leopold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10.1016/j.biocon.2012.01.061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Scanga Biol Cons 2012 Appendix.doc; Scanga Plant Ecol 2014</w:t>
            </w:r>
          </w:p>
        </w:tc>
      </w:tr>
      <w:tr>
        <w:trPr>
          <w:trHeight w:val="615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Sletvold; Øien; Moen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10.1016/j.biocon.2009.12.017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Sletvold GCB 2013</w:t>
            </w:r>
          </w:p>
        </w:tc>
      </w:tr>
      <w:tr>
        <w:trPr>
          <w:trHeight w:val="62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Thorpe; Stanley; Kayne; Latham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Ellis Ecol 2012; Crone Cons Biol 2013</w:t>
            </w:r>
          </w:p>
        </w:tc>
      </w:tr>
      <w:tr>
        <w:trPr>
          <w:trHeight w:val="62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Ticktin; Ganesan; Paramesha; Setty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10.1111/j.1365-2664.2012.02156.x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Ellis Ecol 2012; Crone Cons Biol 2013; Ticktin J Appl Ecol 2014</w:t>
            </w:r>
          </w:p>
        </w:tc>
      </w:tr>
      <w:tr>
        <w:trPr>
          <w:trHeight w:val="66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Toräng; Ehrlén; Ågren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10.1007/s00442-009-1552-1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Toräng Oecologia 2010 Appendix</w:t>
            </w:r>
          </w:p>
        </w:tc>
      </w:tr>
      <w:tr>
        <w:trPr>
          <w:trHeight w:val="605" w:hRule="auto"/>
        </w:trPr>
        body30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Villellas; Morris; Garcia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Villellas Ecol 2013</w:t>
            </w:r>
          </w:p>
        </w:tc>
      </w:tr>
    </w:tbl>
    <w:bookmarkEnd w:id="30"/>
    <w:bookmarkStart w:id="39" w:name="supplementary-figures"/>
    <w:p>
      <w:pPr>
        <w:pStyle w:val="Heading1"/>
      </w:pPr>
      <w:r>
        <w:t xml:space="preserve">Supplementary Figures</w:t>
      </w:r>
    </w:p>
    <w:p>
      <w:r>
        <w:br w:type="page"/>
      </w:r>
    </w:p>
    <w:p>
      <w:pPr>
        <w:pStyle w:val="CaptionedFigure"/>
      </w:pPr>
      <w:r>
        <w:drawing>
          <wp:inline>
            <wp:extent cx="5734113" cy="3669832"/>
            <wp:effectExtent b="0" l="0" r="0" t="0"/>
            <wp:docPr descr="Figure 1: Boundary-estimate diagnostic. When stage-specific survival estimates are near 0 or 1, derived-parameter sampling distributions can be displaced relative to point estimates, indicating potential inferential fragility." title="" id="32" name="Picture"/>
            <a:graphic>
              <a:graphicData uri="http://schemas.openxmlformats.org/drawingml/2006/picture">
                <pic:pic>
                  <pic:nvPicPr>
                    <pic:cNvPr descr="../../figures/boundar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113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34" w:name="fig:fig-boundary-1"/>
      <w:bookmarkEnd w:id="34"/>
      <w:r>
        <w:t xml:space="preserve">Figure 1: Boundary-estimate diagnostic. When stage-specific survival estimates are near 0 or 1, derived-parameter sampling distributions can be displaced relative to point estimates, indicating potential inferential fragility.</w:t>
      </w:r>
    </w:p>
    <w:p>
      <w:r>
        <w:br w:type="page"/>
      </w:r>
    </w:p>
    <w:p>
      <w:pPr>
        <w:pStyle w:val="CaptionedFigure"/>
      </w:pPr>
      <w:r>
        <w:drawing>
          <wp:inline>
            <wp:extent cx="5734113" cy="5504749"/>
            <wp:effectExtent b="0" l="0" r="0" t="0"/>
            <wp:docPr descr="Figure 2: Illustration of survivorship trajectories under boundary survival transitions. These cases can induce artefactual trajectory shapes and help explain mismatches between point estimates and uncertainty-aware summaries." title="" id="36" name="Picture"/>
            <a:graphic>
              <a:graphicData uri="http://schemas.openxmlformats.org/drawingml/2006/picture">
                <pic:pic>
                  <pic:nvPicPr>
                    <pic:cNvPr descr="../../figures/boundary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113" cy="5504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bookmarkStart w:id="38" w:name="fig:fig-boundary-2"/>
      <w:bookmarkEnd w:id="38"/>
      <w:r>
        <w:t xml:space="preserve">Figure 2: Illustration of survivorship trajectories under boundary survival transitions. These cases can induce artefactual trajectory shapes and help explain mismatches between point estimates and uncertainty-aware summaries.</w:t>
      </w:r>
    </w:p>
    <w:bookmarkEnd w:id="39"/>
    <w:sectPr w:rsidR="00445ECF" w:rsidRPr="000A5324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F4AC19B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10478427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7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ECF"/>
    <w:rsid w:val="000A5324"/>
    <w:rsid w:val="00293780"/>
    <w:rsid w:val="00445ECF"/>
    <w:rsid w:val="00D521CD"/>
    <w:rsid w:val="00F73D1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93780"/>
    <w:pPr>
      <w:spacing w:line="480" w:lineRule="auto"/>
    </w:pPr>
    <w:rPr>
      <w:rFonts w:ascii="Garamond" w:hAnsi="Garamond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293780"/>
    <w:pPr>
      <w:keepNext/>
      <w:keepLines/>
      <w:spacing w:after="80" w:before="360"/>
      <w:outlineLvl w:val="0"/>
    </w:pPr>
    <w:rPr>
      <w:rFonts w:cstheme="majorBidi" w:eastAsiaTheme="majorEastAsia"/>
      <w:b/>
      <w:bCs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293780"/>
    <w:pPr>
      <w:keepNext/>
      <w:keepLines/>
      <w:spacing w:after="80" w:before="160"/>
      <w:outlineLvl w:val="1"/>
    </w:pPr>
    <w:rPr>
      <w:rFonts w:cstheme="majorBidi" w:eastAsiaTheme="majorEastAsia"/>
      <w:i/>
      <w:iCs/>
      <w:color w:themeColor="accent1" w:themeShade="BF" w:val="0F4761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293780"/>
    <w:pPr>
      <w:keepNext/>
      <w:keepLines/>
      <w:spacing w:after="80" w:before="160"/>
      <w:outlineLvl w:val="2"/>
    </w:pPr>
    <w:rPr>
      <w:rFonts w:cstheme="majorBidi" w:eastAsiaTheme="majorEastAsia"/>
      <w:i/>
      <w:iCs/>
      <w:color w:themeColor="accent1" w:themeShade="BF" w:val="0F4761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293780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293780"/>
  </w:style>
  <w:style w:customStyle="1" w:styleId="Compact" w:type="paragraph">
    <w:name w:val="Compact"/>
    <w:basedOn w:val="BodyText"/>
    <w:qFormat/>
    <w:rsid w:val="00293780"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293780"/>
    <w:pPr>
      <w:spacing w:after="80" w:line="240" w:lineRule="auto"/>
      <w:contextualSpacing/>
      <w:jc w:val="center"/>
    </w:pPr>
    <w:rPr>
      <w:rFonts w:cstheme="majorBidi" w:eastAsiaTheme="majorEastAsia"/>
      <w:b/>
      <w:bCs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93780"/>
    <w:rPr>
      <w:rFonts w:ascii="Garamond" w:cstheme="majorBidi" w:eastAsiaTheme="majorEastAsia" w:hAnsi="Garamond"/>
      <w:b/>
      <w:bCs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293780"/>
    <w:pPr>
      <w:keepNext/>
      <w:keepLines/>
    </w:pPr>
    <w:rPr>
      <w:b w:val="0"/>
      <w:bCs w:val="0"/>
      <w:sz w:val="24"/>
      <w:szCs w:val="24"/>
    </w:rPr>
  </w:style>
  <w:style w:styleId="Date" w:type="paragraph">
    <w:name w:val="Date"/>
    <w:basedOn w:val="Title"/>
    <w:next w:val="BodyText"/>
    <w:qFormat/>
    <w:rsid w:val="00293780"/>
    <w:pPr>
      <w:keepNext/>
      <w:keepLines/>
    </w:pPr>
    <w:rPr>
      <w:b w:val="0"/>
      <w:bCs w:val="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293780"/>
    <w:rPr>
      <w:rFonts w:ascii="Garamond" w:cstheme="majorBidi" w:eastAsiaTheme="majorEastAsia" w:hAnsi="Garamond"/>
      <w:b/>
      <w:bCs/>
      <w:color w:themeColor="accent1" w:themeShade="BF" w:val="0F476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293780"/>
    <w:rPr>
      <w:rFonts w:ascii="Garamond" w:cstheme="majorBidi" w:eastAsiaTheme="majorEastAsia" w:hAnsi="Garamond"/>
      <w:i/>
      <w:iCs/>
      <w:color w:themeColor="accent1" w:themeShade="BF" w:val="0F4761"/>
    </w:rPr>
  </w:style>
  <w:style w:customStyle="1" w:styleId="Heading3Char" w:type="character">
    <w:name w:val="Heading 3 Char"/>
    <w:basedOn w:val="DefaultParagraphFont"/>
    <w:link w:val="Heading3"/>
    <w:uiPriority w:val="9"/>
    <w:rsid w:val="00293780"/>
    <w:rPr>
      <w:rFonts w:ascii="Garamond" w:cstheme="majorBidi" w:eastAsiaTheme="majorEastAsia" w:hAnsi="Garamond"/>
      <w:i/>
      <w:iCs/>
      <w:color w:themeColor="accent1" w:themeShade="BF" w:val="0F4761"/>
    </w:rPr>
  </w:style>
  <w:style w:customStyle="1" w:styleId="Heading4Char" w:type="character">
    <w:name w:val="Heading 4 Char"/>
    <w:basedOn w:val="DefaultParagraphFont"/>
    <w:link w:val="Heading4"/>
    <w:uiPriority w:val="9"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22" Target="mailto:jones@biology.sdu.d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jones@biology.sdu.d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1830</Words>
  <Characters>10433</Characters>
  <Application>Microsoft Office Word</Application>
  <DocSecurity>0</DocSecurity>
  <Lines>86</Lines>
  <Paragraphs>24</Paragraphs>
  <ScaleCrop>false</ScaleCrop>
  <Company/>
  <LinksUpToDate>false</LinksUpToDate>
  <CharactersWithSpaces>12239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</dc:title>
  <dc:creator/>
  <cp:keywords/>
  <dcterms:created xsi:type="dcterms:W3CDTF">2026-02-18T16:07:46Z</dcterms:created>
  <dcterms:modified xsi:type="dcterms:W3CDTF">2026-02-18T16:07:46Z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  <property fmtid="{D5CDD505-2E9C-101B-9397-08002B2CF9AE}" pid="3" name="params">
    <vt:lpwstr/>
  </property>
  <property fmtid="{D5CDD505-2E9C-101B-9397-08002B2CF9AE}" pid="4" name="subtitle">
    <vt:lpwstr>When does sampling uncertainty matter in matrix population models? Evidence from published projection matrices</vt:lpwstr>
  </property>
</Properties>
</file>