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95.png" ContentType="image/png"/>
  <Override PartName="/word/media/rId99.png" ContentType="image/png"/>
  <Override PartName="/word/media/rId107.png" ContentType="image/png"/>
  <Override PartName="/word/media/rId91.png" ContentType="image/png"/>
  <Override PartName="/word/media/rId103.png" ContentType="image/png"/>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 does sampling uncertainty matter in matrix population models? Evidence from published projection matrices</w:t>
      </w:r>
    </w:p>
    <w:bookmarkStart w:id="17" w:name="authors"/>
    <w:p>
      <w:pPr>
        <w:pStyle w:val="Heading1"/>
      </w:pPr>
      <w:r>
        <w:t xml:space="preserve">Authors</w:t>
      </w:r>
    </w:p>
    <w:p>
      <w:pPr>
        <w:pStyle w:val="FirstParagraph"/>
      </w:pPr>
      <w:r>
        <w:t xml:space="preserve">Owen R. Jones*</w:t>
      </w:r>
      <w:r>
        <w:rPr>
          <w:vertAlign w:val="superscript"/>
        </w:rPr>
        <w:t xml:space="preserve">1,2</w:t>
      </w:r>
      <w:r>
        <w:t xml:space="preserve">, Emily G. Simmonds</w:t>
      </w:r>
      <w:r>
        <w:rPr>
          <w:vertAlign w:val="superscript"/>
        </w:rPr>
        <w:t xml:space="preserve">2</w:t>
      </w:r>
    </w:p>
    <w:bookmarkEnd w:id="17"/>
    <w:bookmarkStart w:id="18" w:name="affiliations"/>
    <w:p>
      <w:pPr>
        <w:pStyle w:val="Heading1"/>
      </w:pPr>
      <w:r>
        <w:t xml:space="preserve">Affiliations</w:t>
      </w:r>
    </w:p>
    <w:p>
      <w:pPr>
        <w:pStyle w:val="FirstParagraph"/>
      </w:pPr>
      <w:r>
        <w:rPr>
          <w:vertAlign w:val="superscript"/>
        </w:rPr>
        <w:t xml:space="preserve">1</w:t>
      </w:r>
      <w:r>
        <w:t xml:space="preserve"> </w:t>
      </w:r>
      <w:r>
        <w:t xml:space="preserve">Department of Biology, University of Southern Denmark, Odense, Denmark</w:t>
      </w:r>
    </w:p>
    <w:p>
      <w:pPr>
        <w:pStyle w:val="BodyText"/>
      </w:pPr>
      <w:r>
        <w:rPr>
          <w:vertAlign w:val="superscript"/>
        </w:rPr>
        <w:t xml:space="preserve">2</w:t>
      </w:r>
      <w:r>
        <w:t xml:space="preserve"> </w:t>
      </w:r>
      <w:r>
        <w:t xml:space="preserve">Institute of Ecology and Evolution, School of Biological Sciences, University of Edinburgh, Edinburgh, UK</w:t>
      </w:r>
    </w:p>
    <w:bookmarkEnd w:id="18"/>
    <w:bookmarkStart w:id="20" w:name="corresponding-author"/>
    <w:p>
      <w:pPr>
        <w:pStyle w:val="Heading1"/>
      </w:pPr>
      <w:r>
        <w:t xml:space="preserve">Corresponding author</w:t>
      </w:r>
    </w:p>
    <w:p>
      <w:pPr>
        <w:pStyle w:val="FirstParagraph"/>
      </w:pPr>
      <w:r>
        <w:t xml:space="preserve">* Owen R. Jones,</w:t>
      </w:r>
      <w:r>
        <w:t xml:space="preserve"> </w:t>
      </w:r>
      <w:hyperlink r:id="rId19">
        <w:r>
          <w:rPr>
            <w:rStyle w:val="Hyperlink"/>
          </w:rPr>
          <w:t xml:space="preserve">jones@biology.sdu.dk</w:t>
        </w:r>
      </w:hyperlink>
    </w:p>
    <w:p>
      <w:r>
        <w:br w:type="page"/>
      </w:r>
    </w:p>
    <w:bookmarkEnd w:id="20"/>
    <w:bookmarkStart w:id="21" w:name="abstract"/>
    <w:p>
      <w:pPr>
        <w:pStyle w:val="Heading1"/>
      </w:pPr>
      <w:r>
        <w:t xml:space="preserve">Abstract</w:t>
      </w:r>
    </w:p>
    <w:p>
      <w:pPr>
        <w:numPr>
          <w:ilvl w:val="0"/>
          <w:numId w:val="1001"/>
        </w:numPr>
      </w:pPr>
      <w:r>
        <w:t xml:space="preserve">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pPr>
        <w:numPr>
          <w:ilvl w:val="0"/>
          <w:numId w:val="1001"/>
        </w:numPr>
      </w:pPr>
      <w:r>
        <w:t xml:space="preserve">Using a subset of studies from the COMPADRE Plant Matrix Database for which transition-specific sample sizes could be obtained, we reconstructed sampling distributions for transition rates and derived demographic parameters, and conducted three related analyses: a comparative analysis, a within-species time-series analysis, and a simulation study with known truth, each fit with and without explicit sampling uncertainty.</w:t>
      </w:r>
    </w:p>
    <w:p>
      <w:pPr>
        <w:numPr>
          <w:ilvl w:val="0"/>
          <w:numId w:val="1001"/>
        </w:numPr>
      </w:pPr>
      <w:r>
        <w:t xml:space="preserve">The effects of sampling uncertainty were strongly trait-dependent. It had little influence on integrated demographic metrics such as population growth rate, but accounted for a substantial fraction of the total variation in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 whereas the simulation study showed that point-estimate count models can become overconfident even when bias remains low.</w:t>
      </w:r>
    </w:p>
    <w:p>
      <w:pPr>
        <w:numPr>
          <w:ilvl w:val="0"/>
          <w:numId w:val="1001"/>
        </w:numPr>
      </w:pPr>
      <w:r>
        <w:t xml:space="preserve">Together, these analyses show that ignoring sampling uncertainty does not universally compromise inference from published projection matrices, but can yield fragile or biased conclusions for certain demographic traits and overconfident interval estimates in count-based models. We identify structural features of MPMs and analyses that may indicate heightened sensitivity to sampling uncertainty, and discuss implications for researchers using compiled demographic databases.</w:t>
      </w:r>
    </w:p>
    <w:p>
      <w:pPr>
        <w:pStyle w:val="FirstParagraph"/>
      </w:pPr>
      <w:r>
        <w:t xml:space="preserve">Keywords: age-from-stage methods; parametric bootstrapping; estimation bias; parameter uncertainty; stage-structured models; sensitivity analysis; plant demography; life history traits</w:t>
      </w:r>
    </w:p>
    <w:p>
      <w:r>
        <w:br w:type="page"/>
      </w:r>
    </w:p>
    <w:bookmarkEnd w:id="21"/>
    <w:bookmarkStart w:id="22" w:name="introduction"/>
    <w:p>
      <w:pPr>
        <w:pStyle w:val="Heading1"/>
      </w:pPr>
      <w:r>
        <w:t xml:space="preserve">Introduction</w:t>
      </w:r>
    </w:p>
    <w:p>
      <w:pPr>
        <w:pStyle w:val="FirstParagraph"/>
      </w:pPr>
      <w:r>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pPr>
        <w:pStyle w:val="BodyText"/>
      </w:pPr>
      <w:r>
        <w:t xml:space="preserve">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pPr>
        <w:pStyle w:val="BodyText"/>
      </w:pPr>
      <w: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population- or species-level quantities computed from matrix population models (MPMs). These span life-history traits such as generation time, transient descriptors such as reactivity, and integrated metrics such as population growth rate, through to traits governed by long-term survivorship or tail behaviour, such as life expectancy and the shape of mortality trajectories. Whether these different classes of traits are equally sensitive to sampling uncertainty under typical data regimes remains poorly understood.</w:t>
      </w:r>
    </w:p>
    <w:p>
      <w:pPr>
        <w:pStyle w:val="BodyText"/>
      </w:pPr>
      <w:r>
        <w:t xml:space="preserve">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pPr>
        <w:pStyle w:val="BodyText"/>
      </w:pPr>
      <w:r>
        <w:t xml:space="preserve">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incorporating these parameter estimates, or further derivations, into a statistical model.</w:t>
      </w:r>
    </w:p>
    <w:p>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structure our three analyses to bracket this spectrum deliberately, and more broadly to span common uses of published MPMs: from within-species analyses of climate effects on demographic rates, through multi-population climate-demography comparisons, to broad comparative analyses of lifetime-integrating traits across populations and species. The focal quantities are mature life expectancy, the shape of the mortality trajectory, log population growth rate, and recruitment-climate regression coefficients. Because COMPADRE does not routinely include transition-level sample sizes, our analysis is restricted to the subset for which these data could be assembled (695 MPMs from 31 studies; details in Methods). We use these analyses to identify diagnostic features that help researchers assess robustness in their own work.</w:t>
      </w:r>
    </w:p>
    <w:bookmarkEnd w:id="22"/>
    <w:bookmarkStart w:id="32" w:name="methods"/>
    <w:p>
      <w:pPr>
        <w:pStyle w:val="Heading1"/>
      </w:pPr>
      <w:r>
        <w:t xml:space="preserve">Methods</w:t>
      </w:r>
    </w:p>
    <w:bookmarkStart w:id="23" w:name="X383b93a8e92241e5b4789c954a16e82058bcb73"/>
    <w:p>
      <w:pPr>
        <w:pStyle w:val="Heading2"/>
      </w:pPr>
      <w:r>
        <w:t xml:space="preserve">Background on the COMPADRE Plant Matrix Database</w:t>
      </w:r>
    </w:p>
    <w:p>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bookmarkEnd w:id="23"/>
    <w:bookmarkStart w:id="24" w:name="target-studies"/>
    <w:p>
      <w:pPr>
        <w:pStyle w:val="Heading2"/>
      </w:pPr>
      <w:r>
        <w:t xml:space="preserve">Target studies</w:t>
      </w:r>
    </w:p>
    <w:p>
      <w:pPr>
        <w:pStyle w:val="FirstParagraph"/>
      </w:pPr>
      <w:r>
        <w:t xml:space="preserve">We used an earlier version of COMPADRE to define a target-study screen based on the following criteria: studies published from 2010 onwards; species of common perennial growth forms (herbaceous, shrub, tree, palm, and succulent); wild populations not subjected to experimental treatments; and MPMs with three or more stage classes and a one-year projection interval. Re-running that screen with COMPADRE version 6.26.3.0 (created Mar_11_2026) yields 92 post-2010 target studies. Of these, 23 are represented in the current final dataset used here; most exclusions reflected insufficient reporting of transition-specific sample sizes, and a small number used estimation methods incompatible with our bootstrapping approach (e.g. mark-recapture or multi-stage vital rate products). Three additional post-2010 studies in the final dataset (</w:t>
      </w:r>
      <w:r>
        <w:rPr>
          <w:i/>
          <w:iCs/>
        </w:rPr>
        <w:t xml:space="preserve">Paeonia officinalis</w:t>
      </w:r>
      <w:r>
        <w:t xml:space="preserve">,</w:t>
      </w:r>
      <w:r>
        <w:t xml:space="preserve"> </w:t>
      </w:r>
      <w:r>
        <w:rPr>
          <w:i/>
          <w:iCs/>
        </w:rPr>
        <w:t xml:space="preserve">Tillandsia butzii</w:t>
      </w:r>
      <w:r>
        <w:t xml:space="preserve">, and</w:t>
      </w:r>
      <w:r>
        <w:t xml:space="preserve"> </w:t>
      </w:r>
      <w:r>
        <w:rPr>
          <w:i/>
          <w:iCs/>
        </w:rPr>
        <w:t xml:space="preserve">Lantana camara</w:t>
      </w:r>
      <w:r>
        <w:t xml:space="preserve">) no longer satisfy the current metadata-based screen, and we also retained 5 pre-2010 studies that had previously been assembled on the basis of temporal replication (at least 4 annual matrices). The requirement of at least 4 annual matrices applied only to the 5 pre-2010 studies added to support the time-series analyses; it was not a selection criterion for the full 31-study dataset used across all analyses. Within the reproducible post-2010 screen, included and excluded studies were broadly similar in matrix dimension, dominant life form, mean stage-specific survival, and the prevalence of boundary survival estimates (Table S11). The 23 screen-overlapping studies yielded 374 MPMs for 84 populations of 24 species; the final dataset comprised 31 studies representing 695 MPMs for 132 populations of 30 species.</w:t>
      </w:r>
    </w:p>
    <w:bookmarkEnd w:id="24"/>
    <w:bookmarkStart w:id="25" w:name="Xeff8857846f60e51662298fdb193b2113c059ad"/>
    <w:p>
      <w:pPr>
        <w:pStyle w:val="Heading2"/>
      </w:pPr>
      <w:r>
        <w:t xml:space="preserve">Typical construction of matrix population models</w:t>
      </w:r>
    </w:p>
    <w:p>
      <w:pPr>
        <w:pStyle w:val="FirstParagraph"/>
      </w:pPr>
      <w:r>
        <w:t xml:space="preserve">A matrix population model</w:t>
      </w:r>
      <w:r>
        <w:t xml:space="preserve"> </w:t>
      </w:r>
      <m:oMath>
        <m:r>
          <m:t>A</m:t>
        </m:r>
      </m:oMath>
      <w:r>
        <w:t xml:space="preserve"> </w:t>
      </w:r>
      <w:r>
        <w:t xml:space="preserve">is a square projection matrix whose elements</w:t>
      </w:r>
      <w:r>
        <w:t xml:space="preserve"> </w:t>
      </w:r>
      <m:oMath>
        <m:sSub>
          <m:e>
            <m:r>
              <m:t>A</m:t>
            </m:r>
          </m:e>
          <m:sub>
            <m:r>
              <m:t>i</m:t>
            </m:r>
            <m:r>
              <m:t>j</m:t>
            </m:r>
          </m:sub>
        </m:sSub>
      </m:oMath>
      <w:r>
        <w:t xml:space="preserve"> </w:t>
      </w:r>
      <w:r>
        <w:t xml:space="preserve">represent estimated transition rates from stage class</w:t>
      </w:r>
      <w:r>
        <w:t xml:space="preserve"> </w:t>
      </w:r>
      <m:oMath>
        <m:r>
          <m:t>j</m:t>
        </m:r>
      </m:oMath>
      <w:r>
        <w:t xml:space="preserve"> </w:t>
      </w:r>
      <w:r>
        <w:t xml:space="preserve">to stage class</w:t>
      </w:r>
      <w:r>
        <w:t xml:space="preserve"> </w:t>
      </w:r>
      <m:oMath>
        <m:r>
          <m:t>i</m:t>
        </m:r>
      </m:oMath>
      <w:r>
        <w:t xml:space="preserve"> </w:t>
      </w:r>
      <w:r>
        <w:t xml:space="preserve">over one projection interval (typically one year). Transitions may reflect the passage of individuals from one stage to another through survival, growth, or retrogression (the</w:t>
      </w:r>
      <w:r>
        <w:t xml:space="preserve"> </w:t>
      </w:r>
      <m:oMath>
        <m:r>
          <m:t>U</m:t>
        </m:r>
      </m:oMath>
      <w:r>
        <w:t xml:space="preserve"> </w:t>
      </w:r>
      <w:r>
        <w:t xml:space="preserve">component), or the production of new individuals via reproduction (the</w:t>
      </w:r>
      <w:r>
        <w:t xml:space="preserve"> </w:t>
      </w:r>
      <m:oMath>
        <m:r>
          <m:t>F</m:t>
        </m:r>
      </m:oMath>
      <w:r>
        <w:t xml:space="preserve"> </w:t>
      </w:r>
      <w:r>
        <w:t xml:space="preserve">component);</w:t>
      </w:r>
      <w:r>
        <w:t xml:space="preserve"> </w:t>
      </w:r>
      <m:oMath>
        <m:r>
          <m:t>A</m:t>
        </m:r>
        <m:r>
          <m:rPr>
            <m:sty m:val="p"/>
          </m:rPr>
          <m:t>=</m:t>
        </m:r>
        <m:r>
          <m:t>U</m:t>
        </m:r>
        <m:r>
          <m:rPr>
            <m:sty m:val="p"/>
          </m:rPr>
          <m:t>+</m:t>
        </m:r>
        <m:r>
          <m:t>F</m:t>
        </m:r>
      </m:oMath>
      <w:r>
        <w:t xml:space="preserve">. Sometimes the reproductive transitions are further split into sexual and clonal contributions.</w:t>
      </w:r>
    </w:p>
    <w:p>
      <w:pPr>
        <w:pStyle w:val="BodyText"/>
      </w:pPr>
      <w:r>
        <w:t xml:space="preserve">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pPr>
        <w:pStyle w:val="BodyText"/>
      </w:pPr>
      <m:oMathPara>
        <m:oMathParaPr>
          <m:jc m:val="center"/>
        </m:oMathParaPr>
        <m:oMath>
          <m:sSub>
            <m:e>
              <m:r>
                <m:t>U</m:t>
              </m:r>
            </m:e>
            <m:sub>
              <m:r>
                <m:t>i</m:t>
              </m:r>
              <m:r>
                <m:t>j</m:t>
              </m:r>
              <m:r>
                <m:rPr>
                  <m:sty m:val="p"/>
                </m:rPr>
                <m:t>,</m:t>
              </m:r>
              <m:r>
                <m:t>t</m:t>
              </m:r>
            </m:sub>
          </m:sSub>
          <m:r>
            <m:rPr>
              <m:sty m:val="p"/>
            </m:rPr>
            <m:t>=</m:t>
          </m:r>
          <m:f>
            <m:fPr>
              <m:type m:val="bar"/>
            </m:fPr>
            <m:num>
              <m:r>
                <m:rPr>
                  <m:nor/>
                  <m:sty m:val="p"/>
                </m:rPr>
                <m:t>number transitioned from stage </m:t>
              </m:r>
              <m:r>
                <m:t>j</m:t>
              </m:r>
              <m:r>
                <m:rPr>
                  <m:nor/>
                  <m:sty m:val="p"/>
                </m:rPr>
                <m:t> in year </m:t>
              </m:r>
              <m:r>
                <m:t>t</m:t>
              </m:r>
              <m:r>
                <m:rPr>
                  <m:sty m:val="p"/>
                </m:rPr>
                <m:t>−</m:t>
              </m:r>
              <m:r>
                <m:t>1</m:t>
              </m:r>
              <m:r>
                <m:rPr>
                  <m:nor/>
                  <m:sty m:val="p"/>
                </m:rPr>
                <m:t> to stage </m:t>
              </m:r>
              <m:r>
                <m:t>i</m:t>
              </m:r>
              <m:r>
                <m:rPr>
                  <m:nor/>
                  <m:sty m:val="p"/>
                </m:rPr>
                <m:t> in year </m:t>
              </m:r>
              <m:r>
                <m:t>t</m:t>
              </m:r>
            </m:num>
            <m:den>
              <m:r>
                <m:rPr>
                  <m:nor/>
                  <m:sty m:val="p"/>
                </m:rPr>
                <m:t>number in stage </m:t>
              </m:r>
              <m:r>
                <m:t>j</m:t>
              </m:r>
              <m:r>
                <m:rPr>
                  <m:nor/>
                  <m:sty m:val="p"/>
                </m:rPr>
                <m:t> in year </m:t>
              </m:r>
              <m:r>
                <m:t>t</m:t>
              </m:r>
              <m:r>
                <m:rPr>
                  <m:sty m:val="p"/>
                </m:rPr>
                <m:t>−</m:t>
              </m:r>
              <m:r>
                <m:t>1</m:t>
              </m:r>
            </m:den>
          </m:f>
          <m:r>
            <m:rPr>
              <m:sty m:val="p"/>
            </m:rPr>
            <m:t>.</m:t>
          </m:r>
          <m:r>
            <m:t>  </m:t>
          </m:r>
          <m:r>
            <m:rPr>
              <m:sty m:val="p"/>
            </m:rPr>
            <m:t>(</m:t>
          </m:r>
          <m:r>
            <m:t>1</m:t>
          </m:r>
          <m:r>
            <m:rPr>
              <m:sty m:val="p"/>
            </m:rPr>
            <m:t>)</m:t>
          </m:r>
        </m:oMath>
      </m:oMathPara>
    </w:p>
    <w:p>
      <w:pPr>
        <w:pStyle w:val="FirstParagraph"/>
      </w:pPr>
      <w:r>
        <w:t xml:space="preserve">Reproductive transitions are sometimes estimated directly from counts of new recruits at time</w:t>
      </w:r>
      <w:r>
        <w:t xml:space="preserve"> </w:t>
      </w:r>
      <m:oMath>
        <m:r>
          <m:t>t</m:t>
        </m:r>
      </m:oMath>
      <w:r>
        <w:t xml:space="preserve"> </w:t>
      </w:r>
      <w:r>
        <w:t xml:space="preserve">per reproductive individual at time</w:t>
      </w:r>
      <w:r>
        <w:t xml:space="preserve"> </w:t>
      </w:r>
      <m:oMath>
        <m:r>
          <m:t>t</m:t>
        </m:r>
        <m:r>
          <m:rPr>
            <m:sty m:val="p"/>
          </m:rPr>
          <m:t>−</m:t>
        </m:r>
        <m:r>
          <m:t>1</m:t>
        </m:r>
      </m:oMath>
      <w:r>
        <w:t xml:space="preserve">, as in Eq. (2),</w:t>
      </w:r>
    </w:p>
    <w:p>
      <w:pPr>
        <w:pStyle w:val="BodyText"/>
      </w:pPr>
      <m:oMathPara>
        <m:oMathParaPr>
          <m:jc m:val="center"/>
        </m:oMathParaPr>
        <m:oMath>
          <m:sSub>
            <m:e>
              <m:r>
                <m:t>F</m:t>
              </m:r>
            </m:e>
            <m:sub>
              <m:r>
                <m:t>s</m:t>
              </m:r>
              <m:r>
                <m:t>r</m:t>
              </m:r>
              <m:r>
                <m:rPr>
                  <m:sty m:val="p"/>
                </m:rPr>
                <m:t>,</m:t>
              </m:r>
              <m:r>
                <m:t>t</m:t>
              </m:r>
            </m:sub>
          </m:sSub>
          <m:r>
            <m:rPr>
              <m:sty m:val="p"/>
            </m:rPr>
            <m:t>=</m:t>
          </m:r>
          <m:f>
            <m:fPr>
              <m:type m:val="bar"/>
            </m:fPr>
            <m:num>
              <m:r>
                <m:rPr>
                  <m:nor/>
                  <m:sty m:val="p"/>
                </m:rPr>
                <m:t>number in recruit stage </m:t>
              </m:r>
              <m:r>
                <m:t>s</m:t>
              </m:r>
              <m:r>
                <m:rPr>
                  <m:nor/>
                  <m:sty m:val="p"/>
                </m:rPr>
                <m:t> in year </m:t>
              </m:r>
              <m:r>
                <m:t>t</m:t>
              </m:r>
            </m:num>
            <m:den>
              <m:r>
                <m:rPr>
                  <m:nor/>
                  <m:sty m:val="p"/>
                </m:rPr>
                <m:t>number in reproductive stage </m:t>
              </m:r>
              <m:r>
                <m:t>r</m:t>
              </m:r>
              <m:r>
                <m:rPr>
                  <m:nor/>
                  <m:sty m:val="p"/>
                </m:rPr>
                <m:t> in year </m:t>
              </m:r>
              <m:r>
                <m:t>t</m:t>
              </m:r>
              <m:r>
                <m:rPr>
                  <m:sty m:val="p"/>
                </m:rPr>
                <m:t>−</m:t>
              </m:r>
              <m:r>
                <m:t>1</m:t>
              </m:r>
            </m:den>
          </m:f>
          <m:r>
            <m:rPr>
              <m:sty m:val="p"/>
            </m:rPr>
            <m:t>.</m:t>
          </m:r>
          <m:r>
            <m:t>  </m:t>
          </m:r>
          <m:r>
            <m:rPr>
              <m:sty m:val="p"/>
            </m:rPr>
            <m:t>(</m:t>
          </m:r>
          <m:r>
            <m:t>2</m:t>
          </m:r>
          <m:r>
            <m:rPr>
              <m:sty m:val="p"/>
            </m:rPr>
            <m:t>)</m:t>
          </m:r>
        </m:oMath>
      </m:oMathPara>
    </w:p>
    <w:p>
      <w:pPr>
        <w:pStyle w:val="FirstParagraph"/>
      </w:pPr>
      <w:r>
        <w:t xml:space="preserve">The demographic interpretation of</w:t>
      </w:r>
      <w:r>
        <w:t xml:space="preserve"> </w:t>
      </w:r>
      <m:oMath>
        <m:r>
          <m:t>F</m:t>
        </m:r>
      </m:oMath>
      <w:r>
        <w:t xml:space="preserve"> </w:t>
      </w:r>
      <w:r>
        <w:t xml:space="preserve">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pPr>
        <w:pStyle w:val="BodyText"/>
      </w:pPr>
      <w:r>
        <w:t xml:space="preserve">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p>
      <w:pPr>
        <w:pStyle w:val="BodyText"/>
      </w:pPr>
      <w:r>
        <w:t xml:space="preserve">In such models, uncertainty may differ from the simple count-based setting considered here. Partial pooling in hierarchical vital-rate models, IPMs, or related formulations will often reduce the variance of weakly informed transition estimates, but may also induce stronger correlations across transitions; in those cases, uncertainty should ideally be propagated from the joint posterior of the fitted vital-rate model rather than by treating transition estimates as independent. Our reconstructions therefore approximate the uncertainty available to a secondary user of the published matrix and accompanying sample-size information, rather than the full joint uncertainty from the original fitted model.</w:t>
      </w:r>
    </w:p>
    <w:bookmarkEnd w:id="25"/>
    <w:bookmarkStart w:id="26" w:name="sampling-distribution-for-a-single-mpm"/>
    <w:p>
      <w:pPr>
        <w:pStyle w:val="Heading2"/>
      </w:pPr>
      <w:r>
        <w:t xml:space="preserve">Sampling distribution for a single MPM</w:t>
      </w:r>
    </w:p>
    <w:p>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the sampling distribution of each underlying transition rate. For example, if</w:t>
      </w:r>
      <w:r>
        <w:t xml:space="preserve"> </w:t>
      </w:r>
      <m:oMath>
        <m:sSub>
          <m:e>
            <m:r>
              <m:t>U</m:t>
            </m:r>
          </m:e>
          <m:sub>
            <m:r>
              <m:t>i</m:t>
            </m:r>
            <m:r>
              <m:t>j</m:t>
            </m:r>
          </m:sub>
        </m:sSub>
      </m:oMath>
      <w:r>
        <w:t xml:space="preserve"> </w:t>
      </w:r>
      <w:r>
        <w:t xml:space="preserve">is a survival-related transition from stage</w:t>
      </w:r>
      <w:r>
        <w:t xml:space="preserve"> </w:t>
      </w:r>
      <m:oMath>
        <m:r>
          <m:t>j</m:t>
        </m:r>
      </m:oMath>
      <w:r>
        <w:t xml:space="preserve"> </w:t>
      </w:r>
      <w:r>
        <w:t xml:space="preserve">to</w:t>
      </w:r>
      <w:r>
        <w:t xml:space="preserve"> </w:t>
      </w:r>
      <m:oMath>
        <m:r>
          <m:t>i</m:t>
        </m:r>
      </m:oMath>
      <w:r>
        <w:t xml:space="preserve">, estimated from the observation that</w:t>
      </w:r>
      <w:r>
        <w:t xml:space="preserve"> </w:t>
      </w:r>
      <m:oMath>
        <m:r>
          <m:t>k</m:t>
        </m:r>
      </m:oMath>
      <w:r>
        <w:t xml:space="preserve"> </w:t>
      </w:r>
      <w:r>
        <w:t xml:space="preserve">out of the</w:t>
      </w:r>
      <w:r>
        <w:t xml:space="preserve"> </w:t>
      </w:r>
      <m:oMath>
        <m:r>
          <m:t>n</m:t>
        </m:r>
      </m:oMath>
      <w:r>
        <w:t xml:space="preserve"> </w:t>
      </w:r>
      <w:r>
        <w:t xml:space="preserve">individuals in stage</w:t>
      </w:r>
      <w:r>
        <w:t xml:space="preserve"> </w:t>
      </w:r>
      <m:oMath>
        <m:r>
          <m:t>j</m:t>
        </m:r>
      </m:oMath>
      <w:r>
        <w:t xml:space="preserve"> </w:t>
      </w:r>
      <w:r>
        <w:t xml:space="preserve">survived and transitioned to stage</w:t>
      </w:r>
      <w:r>
        <w:t xml:space="preserve"> </w:t>
      </w:r>
      <m:oMath>
        <m:r>
          <m:t>i</m:t>
        </m:r>
      </m:oMath>
      <w:r>
        <w:t xml:space="preserve"> </w:t>
      </w:r>
      <w:r>
        <w:t xml:space="preserve">(and the remaining</w:t>
      </w:r>
      <w:r>
        <w:t xml:space="preserve"> </w:t>
      </w:r>
      <m:oMath>
        <m:r>
          <m:t>n</m:t>
        </m:r>
        <m:r>
          <m:rPr>
            <m:sty m:val="p"/>
          </m:rPr>
          <m:t>−</m:t>
        </m:r>
        <m:r>
          <m:t>k</m:t>
        </m:r>
      </m:oMath>
      <w:r>
        <w:t xml:space="preserve"> </w:t>
      </w:r>
      <w:r>
        <w:t xml:space="preserve">died), we can model the</w:t>
      </w:r>
      <w:r>
        <w:t xml:space="preserve"> </w:t>
      </w:r>
      <m:oMath>
        <m:sSub>
          <m:e>
            <m:r>
              <m:t>U</m:t>
            </m:r>
          </m:e>
          <m:sub>
            <m:r>
              <m:t>i</m:t>
            </m:r>
            <m:r>
              <m:t>j</m:t>
            </m:r>
          </m:sub>
        </m:sSub>
      </m:oMath>
      <w:r>
        <w:t xml:space="preserve"> </w:t>
      </w:r>
      <w:r>
        <w:t xml:space="preserve">transition as a binomial sample with</w:t>
      </w:r>
      <w:r>
        <w:t xml:space="preserve"> </w:t>
      </w:r>
      <m:oMath>
        <m:r>
          <m:t>k</m:t>
        </m:r>
      </m:oMath>
      <w:r>
        <w:t xml:space="preserve"> </w:t>
      </w:r>
      <w:r>
        <w:t xml:space="preserve">successes in</w:t>
      </w:r>
      <w:r>
        <w:t xml:space="preserve"> </w:t>
      </w:r>
      <m:oMath>
        <m:r>
          <m:t>n</m:t>
        </m:r>
      </m:oMath>
      <w:r>
        <w:t xml:space="preserve"> </w:t>
      </w:r>
      <w:r>
        <w:t xml:space="preserve">trials. We could equivalently use a multinomial likelihood here (given observed counts</w:t>
      </w:r>
      <w:r>
        <w:t xml:space="preserve"> </w:t>
      </w:r>
      <m:oMath>
        <m:sSub>
          <m:e>
            <m:r>
              <m:t>x</m:t>
            </m:r>
          </m:e>
          <m:sub>
            <m:r>
              <m:t>m</m:t>
            </m:r>
          </m:sub>
        </m:sSub>
      </m:oMath>
      <w:r>
        <w:t xml:space="preserve"> </w:t>
      </w:r>
      <w:r>
        <w:t xml:space="preserve">of each possible outcome</w:t>
      </w:r>
      <w:r>
        <w:t xml:space="preserve"> </w:t>
      </w:r>
      <m:oMath>
        <m:r>
          <m:t>m</m:t>
        </m:r>
      </m:oMath>
      <w:r>
        <w:t xml:space="preserve">), which flexibly scales to instances with more than two possible outcomes (e.g. an individual from stage</w:t>
      </w:r>
      <w:r>
        <w:t xml:space="preserve"> </w:t>
      </w:r>
      <m:oMath>
        <m:r>
          <m:t>j</m:t>
        </m:r>
      </m:oMath>
      <w:r>
        <w:t xml:space="preserve"> </w:t>
      </w:r>
      <w:r>
        <w:t xml:space="preserve">might die, survive and remain in stage</w:t>
      </w:r>
      <w:r>
        <w:t xml:space="preserve"> </w:t>
      </w:r>
      <m:oMath>
        <m:r>
          <m:t>j</m:t>
        </m:r>
      </m:oMath>
      <w:r>
        <w:t xml:space="preserve">, or survive and grow to stage</w:t>
      </w:r>
      <w:r>
        <w:t xml:space="preserve"> </w:t>
      </w:r>
      <m:oMath>
        <m:r>
          <m:t>j</m:t>
        </m:r>
        <m:r>
          <m:rPr>
            <m:sty m:val="p"/>
          </m:rPr>
          <m:t>+</m:t>
        </m:r>
        <m:r>
          <m:t>1</m:t>
        </m:r>
      </m:oMath>
      <w:r>
        <w:t xml:space="preserve">). For reproductive transitions, we use a Poisson likelihood to model the number of recruits</w:t>
      </w:r>
      <w:r>
        <w:t xml:space="preserve"> </w:t>
      </w:r>
      <m:oMath>
        <m:r>
          <m:t>k</m:t>
        </m:r>
      </m:oMath>
      <w:r>
        <w:t xml:space="preserve"> </w:t>
      </w:r>
      <w:r>
        <w:t xml:space="preserve">produced by a given number of reproductive individuals</w:t>
      </w:r>
      <w:r>
        <w:t xml:space="preserve"> </w:t>
      </w:r>
      <m:oMath>
        <m:r>
          <m:t>n</m:t>
        </m:r>
      </m:oMath>
      <w:r>
        <w:t xml:space="preserve">. We distinguish structural zeros (biologically impossible transitions) from sampling zeros (possible but unobserved transitions): structural zeros are fixed at 0 in all bootstrap draws, whereas sampling zeros are modelled with the same likelihood-based uncertainty framework as non-zero transitions.</w:t>
      </w:r>
    </w:p>
    <w:bookmarkEnd w:id="26"/>
    <w:bookmarkStart w:id="31" w:name="analyses"/>
    <w:p>
      <w:pPr>
        <w:pStyle w:val="Heading2"/>
      </w:pPr>
      <w:r>
        <w:t xml:space="preserve">Analyses</w:t>
      </w:r>
    </w:p>
    <w:p>
      <w:pPr>
        <w:pStyle w:val="FirstParagraph"/>
      </w:pPr>
      <w:r>
        <w:t xml:space="preserve">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 When a stage-specific sample size was recovered as zero, we retained the published point-estimate transition column unchanged in all bootstrap draws rather than treating it as a structural zero. In such cases, the matrix remains usable in the same way it would be in a comparative database analysis, but no additional sampling variation is propagated for that unsupported column.</w:t>
      </w:r>
    </w:p>
    <w:bookmarkStart w:id="27" w:name="illustrative-example"/>
    <w:p>
      <w:pPr>
        <w:pStyle w:val="Heading3"/>
      </w:pPr>
      <w:r>
        <w:t xml:space="preserve">Illustrative example</w:t>
      </w:r>
    </w:p>
    <w:p>
      <w:pPr>
        <w:pStyle w:val="FirstParagraph"/>
      </w:pPr>
      <w:r>
        <w:t xml:space="preserve">We illustrate with an MPM for the perennial forb</w:t>
      </w:r>
      <w:r>
        <w:t xml:space="preserve"> </w:t>
      </w:r>
      <w:r>
        <w:rPr>
          <w:i/>
          <w:iCs/>
        </w:rPr>
        <w:t xml:space="preserve">Agrimonia eupatoria</w:t>
      </w:r>
      <w:r>
        <w:t xml:space="preserve"> </w:t>
      </w:r>
      <w:r>
        <w:t xml:space="preserve">(Rosaceae) from a study carried out in southern Sweden (Kiviniemi 2002) (Population ‘B’; projection interval 1997-1998). The full matrix is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oMath>
      </m:oMathPara>
    </w:p>
    <w:p>
      <w:pPr>
        <w:pStyle w:val="FirstParagraph"/>
      </w:pPr>
      <w:r>
        <w:t xml:space="preserve">Decomposed into survival/growth (</w:t>
      </w:r>
      <m:oMath>
        <m:r>
          <m:t>U</m:t>
        </m:r>
      </m:oMath>
      <w:r>
        <w:t xml:space="preserve">) and reproduction (</w:t>
      </w:r>
      <m:oMath>
        <m:r>
          <m:t>F</m:t>
        </m:r>
      </m:oMath>
      <w:r>
        <w:t xml:space="preserve">) components:</w:t>
      </w:r>
    </w:p>
    <w:p>
      <w:pPr>
        <w:pStyle w:val="BodyText"/>
      </w:pPr>
      <m:oMathPara>
        <m:oMathParaPr>
          <m:jc m:val="center"/>
        </m:oMathParaPr>
        <m:oMath>
          <m: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0.86</m:t>
                    </m:r>
                  </m:e>
                  <m:e>
                    <m:r>
                      <m:t>0.78</m:t>
                    </m:r>
                  </m:e>
                  <m:e>
                    <m:r>
                      <m:t>0</m:t>
                    </m:r>
                  </m:e>
                  <m:e>
                    <m:r>
                      <m:t>0</m:t>
                    </m:r>
                  </m:e>
                </m:mr>
                <m:mr>
                  <m:e>
                    <m:r>
                      <m:t>0.06</m:t>
                    </m:r>
                  </m:e>
                  <m:e>
                    <m:r>
                      <m:t>0.67</m:t>
                    </m:r>
                  </m:e>
                  <m:e>
                    <m:r>
                      <m:t>0.28</m:t>
                    </m:r>
                  </m:e>
                  <m:e>
                    <m:r>
                      <m:t>0</m:t>
                    </m:r>
                  </m:e>
                </m:mr>
                <m:mr>
                  <m:e>
                    <m:r>
                      <m:t>0</m:t>
                    </m:r>
                  </m:e>
                  <m:e>
                    <m:r>
                      <m:t>0</m:t>
                    </m:r>
                  </m:e>
                  <m:e>
                    <m:r>
                      <m:t>0.22</m:t>
                    </m:r>
                  </m:e>
                  <m:e>
                    <m:r>
                      <m:t>0.70</m:t>
                    </m:r>
                  </m:e>
                </m:mr>
              </m:m>
            </m:e>
          </m:d>
          <m:r>
            <m:rPr>
              <m:sty m:val="p"/>
            </m:rPr>
            <m:t>,</m:t>
          </m:r>
          <m:r>
            <m:t> </m:t>
          </m:r>
          <m:r>
            <m:t>F</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0.19</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In that study, ~80 plants were monitored each year in a population estimated at ~1000 individuals. Mirroring the</w:t>
      </w:r>
      <w:r>
        <w:t xml:space="preserve"> </w:t>
      </w:r>
      <m:oMath>
        <m:r>
          <m:t>A</m:t>
        </m:r>
        <m:r>
          <m:rPr>
            <m:sty m:val="p"/>
          </m:rPr>
          <m:t>=</m:t>
        </m:r>
        <m:r>
          <m:t>U</m:t>
        </m:r>
        <m:r>
          <m:rPr>
            <m:sty m:val="p"/>
          </m:rPr>
          <m:t>+</m:t>
        </m:r>
        <m:r>
          <m:t>F</m:t>
        </m:r>
      </m:oMath>
      <w:r>
        <w:t xml:space="preserve"> </w:t>
      </w:r>
      <w:r>
        <w:t xml:space="preserve">decomposition above, the observed transition frequencies can be written as:</w:t>
      </w:r>
    </w:p>
    <w:p>
      <w:pPr>
        <w:pStyle w:val="BodyText"/>
      </w:pPr>
      <m:oMathPara>
        <m:oMathParaPr>
          <m:jc m:val="center"/>
        </m:oMathParaPr>
        <m:oMath>
          <m:sSub>
            <m:e>
              <m:r>
                <m:t>N</m:t>
              </m:r>
            </m:e>
            <m:sub>
              <m:r>
                <m:t>U</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t>12</m:t>
                    </m:r>
                    <m:r>
                      <m:rPr>
                        <m:sty m:val="p"/>
                      </m:rPr>
                      <m:t>/</m:t>
                    </m:r>
                    <m:r>
                      <m:t>14</m:t>
                    </m:r>
                  </m:e>
                  <m:e>
                    <m:r>
                      <m:t>14</m:t>
                    </m:r>
                    <m:r>
                      <m:rPr>
                        <m:sty m:val="p"/>
                      </m:rPr>
                      <m:t>/</m:t>
                    </m:r>
                    <m:r>
                      <m:t>18</m:t>
                    </m:r>
                  </m:e>
                  <m:e>
                    <m:r>
                      <m:t>0</m:t>
                    </m:r>
                  </m:e>
                  <m:e>
                    <m:r>
                      <m:t>0</m:t>
                    </m:r>
                  </m:e>
                </m:mr>
                <m:mr>
                  <m:e>
                    <m:r>
                      <m:t>0</m:t>
                    </m:r>
                  </m:e>
                  <m:e>
                    <m:r>
                      <m:t>1</m:t>
                    </m:r>
                    <m:r>
                      <m:rPr>
                        <m:sty m:val="p"/>
                      </m:rPr>
                      <m:t>/</m:t>
                    </m:r>
                    <m:r>
                      <m:t>18</m:t>
                    </m:r>
                  </m:e>
                  <m:e>
                    <m:r>
                      <m:t>6</m:t>
                    </m:r>
                    <m:r>
                      <m:rPr>
                        <m:sty m:val="p"/>
                      </m:rPr>
                      <m:t>/</m:t>
                    </m:r>
                    <m:r>
                      <m:t>9</m:t>
                    </m:r>
                  </m:e>
                  <m:e>
                    <m:r>
                      <m:t>13</m:t>
                    </m:r>
                    <m:r>
                      <m:rPr>
                        <m:sty m:val="p"/>
                      </m:rPr>
                      <m:t>/</m:t>
                    </m:r>
                    <m:r>
                      <m:t>47</m:t>
                    </m:r>
                  </m:e>
                </m:mr>
                <m:mr>
                  <m:e>
                    <m:r>
                      <m:t>0</m:t>
                    </m:r>
                  </m:e>
                  <m:e>
                    <m:r>
                      <m:t>0</m:t>
                    </m:r>
                  </m:e>
                  <m:e>
                    <m:r>
                      <m:t>2</m:t>
                    </m:r>
                    <m:r>
                      <m:rPr>
                        <m:sty m:val="p"/>
                      </m:rPr>
                      <m:t>/</m:t>
                    </m:r>
                    <m:r>
                      <m:t>9</m:t>
                    </m:r>
                  </m:e>
                  <m:e>
                    <m:r>
                      <m:t>33</m:t>
                    </m:r>
                    <m:r>
                      <m:rPr>
                        <m:sty m:val="p"/>
                      </m:rPr>
                      <m:t>/</m:t>
                    </m:r>
                    <m:r>
                      <m:t>47</m:t>
                    </m:r>
                  </m:e>
                </m:mr>
                <m:mr>
                  <m:e>
                    <m:r>
                      <m:t>2</m:t>
                    </m:r>
                    <m:r>
                      <m:rPr>
                        <m:sty m:val="p"/>
                      </m:rPr>
                      <m:t>/</m:t>
                    </m:r>
                    <m:r>
                      <m:t>14</m:t>
                    </m:r>
                  </m:e>
                  <m:e>
                    <m:r>
                      <m:t>3</m:t>
                    </m:r>
                    <m:r>
                      <m:rPr>
                        <m:sty m:val="p"/>
                      </m:rPr>
                      <m:t>/</m:t>
                    </m:r>
                    <m:r>
                      <m:t>18</m:t>
                    </m:r>
                  </m:e>
                  <m:e>
                    <m:r>
                      <m:t>1</m:t>
                    </m:r>
                    <m:r>
                      <m:rPr>
                        <m:sty m:val="p"/>
                      </m:rPr>
                      <m:t>/</m:t>
                    </m:r>
                    <m:r>
                      <m:t>9</m:t>
                    </m:r>
                  </m:e>
                  <m:e>
                    <m:r>
                      <m:t>1</m:t>
                    </m:r>
                    <m:r>
                      <m:rPr>
                        <m:sty m:val="p"/>
                      </m:rPr>
                      <m:t>/</m:t>
                    </m:r>
                    <m:r>
                      <m:t>47</m:t>
                    </m:r>
                  </m:e>
                </m:mr>
              </m:m>
            </m:e>
          </m:d>
          <m:r>
            <m:rPr>
              <m:sty m:val="p"/>
            </m:rPr>
            <m:t>,</m:t>
          </m:r>
        </m:oMath>
      </m:oMathPara>
    </w:p>
    <w:p>
      <w:pPr>
        <w:pStyle w:val="FirstParagraph"/>
      </w:pPr>
      <m:oMathPara>
        <m:oMathParaPr>
          <m:jc m:val="center"/>
        </m:oMathParaPr>
        <m:oMath>
          <m:sSub>
            <m:e>
              <m:r>
                <m:t>N</m:t>
              </m:r>
            </m:e>
            <m:sub>
              <m:r>
                <m:t>F</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9</m:t>
                    </m:r>
                    <m:r>
                      <m:rPr>
                        <m:sty m:val="p"/>
                      </m:rPr>
                      <m:t>/</m:t>
                    </m:r>
                    <m:r>
                      <m:t>47</m:t>
                    </m:r>
                  </m:e>
                </m:mr>
                <m:mr>
                  <m:e>
                    <m:r>
                      <m:t>0</m:t>
                    </m:r>
                  </m:e>
                  <m:e>
                    <m:r>
                      <m:t>0</m:t>
                    </m:r>
                  </m:e>
                  <m:e>
                    <m:r>
                      <m:t>0</m:t>
                    </m:r>
                  </m:e>
                  <m:e>
                    <m:r>
                      <m:t>0</m:t>
                    </m:r>
                  </m:e>
                </m:mr>
                <m:mr>
                  <m:e>
                    <m:r>
                      <m:t>0</m:t>
                    </m:r>
                  </m:e>
                  <m:e>
                    <m:r>
                      <m:t>0</m:t>
                    </m:r>
                  </m:e>
                  <m:e>
                    <m:r>
                      <m:t>0</m:t>
                    </m:r>
                  </m:e>
                  <m:e>
                    <m:r>
                      <m:t>0</m:t>
                    </m:r>
                  </m:e>
                </m:mr>
                <m:mr>
                  <m:e>
                    <m:r>
                      <m:t>0</m:t>
                    </m:r>
                  </m:e>
                  <m:e>
                    <m:r>
                      <m:t>0</m:t>
                    </m:r>
                  </m:e>
                  <m:e>
                    <m:r>
                      <m:t>0</m:t>
                    </m:r>
                  </m:e>
                  <m:e>
                    <m:r>
                      <m:t>0</m:t>
                    </m:r>
                  </m:e>
                </m:mr>
              </m:m>
            </m:e>
          </m:d>
          <m:r>
            <m:rPr>
              <m:sty m:val="p"/>
            </m:rPr>
            <m:t>.</m:t>
          </m:r>
        </m:oMath>
      </m:oMathPara>
    </w:p>
    <w:p>
      <w:pPr>
        <w:pStyle w:val="FirstParagraph"/>
      </w:pPr>
      <w:r>
        <w:t xml:space="preserve">Here, columns index origin stage</w:t>
      </w:r>
      <w:r>
        <w:t xml:space="preserve"> </w:t>
      </w:r>
      <m:oMath>
        <m:r>
          <m:t>j</m:t>
        </m:r>
      </m:oMath>
      <w:r>
        <w:t xml:space="preserve">; rows 1-4 in</w:t>
      </w:r>
      <w:r>
        <w:t xml:space="preserve"> </w:t>
      </w:r>
      <m:oMath>
        <m:sSub>
          <m:e>
            <m:r>
              <m:t>N</m:t>
            </m:r>
          </m:e>
          <m:sub>
            <m:r>
              <m:t>U</m:t>
            </m:r>
          </m:sub>
        </m:sSub>
      </m:oMath>
      <w:r>
        <w:t xml:space="preserve"> </w:t>
      </w:r>
      <w:r>
        <w:t xml:space="preserve">index destination stages, and the extra row</w:t>
      </w:r>
      <w:r>
        <w:t xml:space="preserve"> </w:t>
      </w:r>
      <m:oMath>
        <m:r>
          <m:t>d</m:t>
        </m:r>
      </m:oMath>
      <w:r>
        <w:t xml:space="preserve"> </w:t>
      </w:r>
      <w:r>
        <w:t xml:space="preserve">denotes death as the complementary non-survival outcome for that origin stage. In the implemented bootstrap, death is resampled jointly with the living transitions in each</w:t>
      </w:r>
      <w:r>
        <w:t xml:space="preserve"> </w:t>
      </w:r>
      <m:oMath>
        <m:r>
          <m:t>U</m:t>
        </m:r>
      </m:oMath>
      <w:r>
        <w:t xml:space="preserve">-column, but only the living-stage components are written back into the simulated</w:t>
      </w:r>
      <w:r>
        <w:t xml:space="preserve"> </w:t>
      </w:r>
      <m:oMath>
        <m:r>
          <m:t>U</m:t>
        </m:r>
      </m:oMath>
      <w:r>
        <w:t xml:space="preserve"> </w:t>
      </w:r>
      <w:r>
        <w:t xml:space="preserve">matrix. The</w:t>
      </w:r>
      <w:r>
        <w:t xml:space="preserve"> </w:t>
      </w:r>
      <m:oMath>
        <m:sSub>
          <m:e>
            <m:r>
              <m:t>N</m:t>
            </m:r>
          </m:e>
          <m:sub>
            <m:r>
              <m:t>F</m:t>
            </m:r>
          </m:sub>
        </m:sSub>
      </m:oMath>
      <w:r>
        <w:t xml:space="preserve"> </w:t>
      </w:r>
      <w:r>
        <w:t xml:space="preserve">matrix remains</w:t>
      </w:r>
      <w:r>
        <w:t xml:space="preserve"> </w:t>
      </w:r>
      <m:oMath>
        <m:r>
          <m:t>4</m:t>
        </m:r>
        <m:r>
          <m:rPr>
            <m:sty m:val="p"/>
          </m:rPr>
          <m:t>×</m:t>
        </m:r>
        <m:r>
          <m:t>4</m:t>
        </m:r>
      </m:oMath>
      <w:r>
        <w:t xml:space="preserve"> </w:t>
      </w:r>
      <w:r>
        <w:t xml:space="preserve">and contains only reproductive transitions. From these counts, the sampling distributions of the underlying transition rates are:</w:t>
      </w:r>
    </w:p>
    <w:p>
      <w:pPr>
        <w:pStyle w:val="BodyText"/>
      </w:pPr>
      <m:oMathPara>
        <m:oMathParaPr>
          <m:jc m:val="center"/>
        </m:oMathParaPr>
        <m:oMath>
          <m:r>
            <m:rPr>
              <m:sty m:val="p"/>
            </m:rPr>
            <m:t>(</m:t>
          </m:r>
          <m:r>
            <m:t>12</m:t>
          </m:r>
          <m:r>
            <m:rPr>
              <m:sty m:val="p"/>
            </m:rPr>
            <m:t>,</m:t>
          </m:r>
          <m:r>
            <m:t>2</m:t>
          </m:r>
          <m:r>
            <m:rPr>
              <m:sty m:val="p"/>
            </m:rPr>
            <m:t>)</m:t>
          </m:r>
          <m:r>
            <m:rPr>
              <m:sty m:val="p"/>
            </m:rPr>
            <m:t>∼</m:t>
          </m:r>
          <m:r>
            <m:rPr>
              <m:nor/>
              <m:sty m:val="p"/>
            </m:rPr>
            <m:t>Multinomial</m:t>
          </m:r>
          <m:r>
            <m:rPr>
              <m:sty m:val="p"/>
            </m:rPr>
            <m:t>(</m:t>
          </m:r>
          <m:sSub>
            <m:e>
              <m:r>
                <m:t>U</m:t>
              </m:r>
            </m:e>
            <m:sub>
              <m:r>
                <m:t>21</m:t>
              </m:r>
            </m:sub>
          </m:sSub>
          <m:r>
            <m:rPr>
              <m:sty m:val="p"/>
            </m:rPr>
            <m:t>,</m:t>
          </m:r>
          <m:sSub>
            <m:e>
              <m:r>
                <m:t>U</m:t>
              </m:r>
            </m:e>
            <m:sub>
              <m:r>
                <m:t>d</m:t>
              </m:r>
              <m:r>
                <m:t>1</m:t>
              </m:r>
            </m:sub>
          </m:sSub>
          <m:r>
            <m:rPr>
              <m:sty m:val="p"/>
            </m:rPr>
            <m:t>)</m:t>
          </m:r>
          <m:r>
            <m:rPr>
              <m:sty m:val="p"/>
            </m:rPr>
            <m:t>,</m:t>
          </m:r>
        </m:oMath>
      </m:oMathPara>
    </w:p>
    <w:p>
      <w:pPr>
        <w:pStyle w:val="FirstParagraph"/>
      </w:pPr>
      <m:oMathPara>
        <m:oMathParaPr>
          <m:jc m:val="center"/>
        </m:oMathParaPr>
        <m:oMath>
          <m:r>
            <m:rPr>
              <m:sty m:val="p"/>
            </m:rPr>
            <m:t>(</m:t>
          </m:r>
          <m:r>
            <m:t>14</m:t>
          </m:r>
          <m:r>
            <m:rPr>
              <m:sty m:val="p"/>
            </m:rPr>
            <m:t>,</m:t>
          </m:r>
          <m:r>
            <m:t>1</m:t>
          </m:r>
          <m:r>
            <m:rPr>
              <m:sty m:val="p"/>
            </m:rPr>
            <m:t>,</m:t>
          </m:r>
          <m:r>
            <m:t>3</m:t>
          </m:r>
          <m:r>
            <m:rPr>
              <m:sty m:val="p"/>
            </m:rPr>
            <m:t>)</m:t>
          </m:r>
          <m:r>
            <m:rPr>
              <m:sty m:val="p"/>
            </m:rPr>
            <m:t>∼</m:t>
          </m:r>
          <m:r>
            <m:rPr>
              <m:nor/>
              <m:sty m:val="p"/>
            </m:rPr>
            <m:t>Multinomial</m:t>
          </m:r>
          <m:r>
            <m:rPr>
              <m:sty m:val="p"/>
            </m:rPr>
            <m:t>(</m:t>
          </m:r>
          <m:sSub>
            <m:e>
              <m:r>
                <m:t>U</m:t>
              </m:r>
            </m:e>
            <m:sub>
              <m:r>
                <m:t>22</m:t>
              </m:r>
            </m:sub>
          </m:sSub>
          <m:r>
            <m:rPr>
              <m:sty m:val="p"/>
            </m:rPr>
            <m:t>,</m:t>
          </m:r>
          <m:sSub>
            <m:e>
              <m:r>
                <m:t>U</m:t>
              </m:r>
            </m:e>
            <m:sub>
              <m:r>
                <m:t>32</m:t>
              </m:r>
            </m:sub>
          </m:sSub>
          <m:r>
            <m:rPr>
              <m:sty m:val="p"/>
            </m:rPr>
            <m:t>,</m:t>
          </m:r>
          <m:sSub>
            <m:e>
              <m:r>
                <m:t>U</m:t>
              </m:r>
            </m:e>
            <m:sub>
              <m:r>
                <m:t>d</m:t>
              </m:r>
              <m:r>
                <m:t>2</m:t>
              </m:r>
            </m:sub>
          </m:sSub>
          <m:r>
            <m:rPr>
              <m:sty m:val="p"/>
            </m:rPr>
            <m:t>)</m:t>
          </m:r>
          <m:r>
            <m:rPr>
              <m:sty m:val="p"/>
            </m:rPr>
            <m:t>,</m:t>
          </m:r>
        </m:oMath>
      </m:oMathPara>
    </w:p>
    <w:p>
      <w:pPr>
        <w:pStyle w:val="FirstParagraph"/>
      </w:pPr>
      <m:oMathPara>
        <m:oMathParaPr>
          <m:jc m:val="center"/>
        </m:oMathParaPr>
        <m:oMath>
          <m:r>
            <m:rPr>
              <m:sty m:val="p"/>
            </m:rPr>
            <m:t>(</m:t>
          </m:r>
          <m:r>
            <m:t>6</m:t>
          </m:r>
          <m:r>
            <m:rPr>
              <m:sty m:val="p"/>
            </m:rPr>
            <m:t>,</m:t>
          </m:r>
          <m:r>
            <m:t>2</m:t>
          </m:r>
          <m:r>
            <m:rPr>
              <m:sty m:val="p"/>
            </m:rPr>
            <m:t>,</m:t>
          </m:r>
          <m:r>
            <m:t>1</m:t>
          </m:r>
          <m:r>
            <m:rPr>
              <m:sty m:val="p"/>
            </m:rPr>
            <m:t>)</m:t>
          </m:r>
          <m:r>
            <m:rPr>
              <m:sty m:val="p"/>
            </m:rPr>
            <m:t>∼</m:t>
          </m:r>
          <m:r>
            <m:rPr>
              <m:nor/>
              <m:sty m:val="p"/>
            </m:rPr>
            <m:t>Multinomial</m:t>
          </m:r>
          <m:r>
            <m:rPr>
              <m:sty m:val="p"/>
            </m:rPr>
            <m:t>(</m:t>
          </m:r>
          <m:sSub>
            <m:e>
              <m:r>
                <m:t>U</m:t>
              </m:r>
            </m:e>
            <m:sub>
              <m:r>
                <m:t>33</m:t>
              </m:r>
            </m:sub>
          </m:sSub>
          <m:r>
            <m:rPr>
              <m:sty m:val="p"/>
            </m:rPr>
            <m:t>,</m:t>
          </m:r>
          <m:sSub>
            <m:e>
              <m:r>
                <m:t>U</m:t>
              </m:r>
            </m:e>
            <m:sub>
              <m:r>
                <m:t>43</m:t>
              </m:r>
            </m:sub>
          </m:sSub>
          <m:r>
            <m:rPr>
              <m:sty m:val="p"/>
            </m:rPr>
            <m:t>,</m:t>
          </m:r>
          <m:sSub>
            <m:e>
              <m:r>
                <m:t>U</m:t>
              </m:r>
            </m:e>
            <m:sub>
              <m:r>
                <m:t>d</m:t>
              </m:r>
              <m:r>
                <m:t>3</m:t>
              </m:r>
            </m:sub>
          </m:sSub>
          <m:r>
            <m:rPr>
              <m:sty m:val="p"/>
            </m:rPr>
            <m:t>)</m:t>
          </m:r>
          <m:r>
            <m:rPr>
              <m:sty m:val="p"/>
            </m:rPr>
            <m:t>,</m:t>
          </m:r>
        </m:oMath>
      </m:oMathPara>
    </w:p>
    <w:p>
      <w:pPr>
        <w:pStyle w:val="FirstParagraph"/>
      </w:pPr>
      <m:oMathPara>
        <m:oMathParaPr>
          <m:jc m:val="center"/>
        </m:oMathParaPr>
        <m:oMath>
          <m:r>
            <m:rPr>
              <m:sty m:val="p"/>
            </m:rPr>
            <m:t>(</m:t>
          </m:r>
          <m:r>
            <m:t>13</m:t>
          </m:r>
          <m:r>
            <m:rPr>
              <m:sty m:val="p"/>
            </m:rPr>
            <m:t>,</m:t>
          </m:r>
          <m:r>
            <m:t>33</m:t>
          </m:r>
          <m:r>
            <m:rPr>
              <m:sty m:val="p"/>
            </m:rPr>
            <m:t>,</m:t>
          </m:r>
          <m:r>
            <m:t>1</m:t>
          </m:r>
          <m:r>
            <m:rPr>
              <m:sty m:val="p"/>
            </m:rPr>
            <m:t>)</m:t>
          </m:r>
          <m:r>
            <m:rPr>
              <m:sty m:val="p"/>
            </m:rPr>
            <m:t>∼</m:t>
          </m:r>
          <m:r>
            <m:rPr>
              <m:nor/>
              <m:sty m:val="p"/>
            </m:rPr>
            <m:t>Multinomial</m:t>
          </m:r>
          <m:r>
            <m:rPr>
              <m:sty m:val="p"/>
            </m:rPr>
            <m:t>(</m:t>
          </m:r>
          <m:sSub>
            <m:e>
              <m:r>
                <m:t>U</m:t>
              </m:r>
            </m:e>
            <m:sub>
              <m:r>
                <m:t>34</m:t>
              </m:r>
            </m:sub>
          </m:sSub>
          <m:r>
            <m:rPr>
              <m:sty m:val="p"/>
            </m:rPr>
            <m:t>,</m:t>
          </m:r>
          <m:sSub>
            <m:e>
              <m:r>
                <m:t>U</m:t>
              </m:r>
            </m:e>
            <m:sub>
              <m:r>
                <m:t>44</m:t>
              </m:r>
            </m:sub>
          </m:sSub>
          <m:r>
            <m:rPr>
              <m:sty m:val="p"/>
            </m:rPr>
            <m:t>,</m:t>
          </m:r>
          <m:sSub>
            <m:e>
              <m:r>
                <m:t>U</m:t>
              </m:r>
            </m:e>
            <m:sub>
              <m:r>
                <m:t>d</m:t>
              </m:r>
              <m:r>
                <m:t>4</m:t>
              </m:r>
            </m:sub>
          </m:sSub>
          <m:r>
            <m:rPr>
              <m:sty m:val="p"/>
            </m:rPr>
            <m:t>)</m:t>
          </m:r>
          <m:r>
            <m:rPr>
              <m:sty m:val="p"/>
            </m:rPr>
            <m:t>,</m:t>
          </m:r>
        </m:oMath>
      </m:oMathPara>
    </w:p>
    <w:p>
      <w:pPr>
        <w:pStyle w:val="FirstParagraph"/>
      </w:pPr>
      <m:oMathPara>
        <m:oMathParaPr>
          <m:jc m:val="center"/>
        </m:oMathParaPr>
        <m:oMath>
          <m:r>
            <m:t>9</m:t>
          </m:r>
          <m:r>
            <m:rPr>
              <m:sty m:val="p"/>
            </m:rPr>
            <m:t>∼</m:t>
          </m:r>
          <m:r>
            <m:rPr>
              <m:nor/>
              <m:sty m:val="p"/>
            </m:rPr>
            <m:t>Poisson</m:t>
          </m:r>
          <m:r>
            <m:t>​</m:t>
          </m:r>
          <m:d>
            <m:dPr>
              <m:begChr m:val="("/>
              <m:sepChr m:val=""/>
              <m:endChr m:val=")"/>
              <m:grow/>
            </m:dPr>
            <m:e>
              <m:r>
                <m:rPr>
                  <m:sty m:val="p"/>
                </m:rPr>
                <m:t>exp</m:t>
              </m:r>
              <m:r>
                <m:rPr>
                  <m:sty m:val="p"/>
                </m:rPr>
                <m:t>(</m:t>
              </m:r>
              <m:sSub>
                <m:e>
                  <m:r>
                    <m:t>F</m:t>
                  </m:r>
                </m:e>
                <m:sub>
                  <m:r>
                    <m:t>14</m:t>
                  </m:r>
                </m:sub>
              </m:sSub>
              <m:r>
                <m:rPr>
                  <m:sty m:val="p"/>
                </m:rPr>
                <m:t>+</m:t>
              </m:r>
              <m:r>
                <m:rPr>
                  <m:sty m:val="p"/>
                </m:rPr>
                <m:t>log</m:t>
              </m:r>
              <m:r>
                <m:t>47</m:t>
              </m:r>
              <m:r>
                <m:rPr>
                  <m:sty m:val="p"/>
                </m:rPr>
                <m:t>)</m:t>
              </m:r>
            </m:e>
          </m:d>
          <m:r>
            <m:rPr>
              <m:sty m:val="p"/>
            </m:rPr>
            <m:t>.</m:t>
          </m:r>
        </m:oMath>
      </m:oMathPara>
    </w:p>
    <w:p>
      <w:pPr>
        <w:pStyle w:val="FirstParagraph"/>
      </w:pPr>
      <w:r>
        <w:t xml:space="preserve">To create a sampling distribution for the focal MPM, we take 2,000 independent draws from the sampling distributions implied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pPr>
        <w:pStyle w:val="BodyText"/>
      </w:pPr>
      <w:r>
        <w:t xml:space="preserve">The modest sample sizes underpinning this MPM (9-47 plants per stage class) result in relatively high sampling uncertainty in the transition rates (Fig.</w:t>
      </w:r>
      <w:r>
        <w:t xml:space="preserve"> </w:t>
      </w:r>
      <w:r>
        <w:t xml:space="preserve">1</w:t>
      </w:r>
      <w:r>
        <w:t xml:space="preserve">). For instance, the sample estimate for the vegetative-reproductive growth transition is 0.22 (2/9), but the upper bound of the 95% bootstrap interval suggests this transition rate could plausibly be as high as 0.45 in the population at large. Correspondingly, there is substantial sampling uncertainty in some derived parameters (Fig.</w:t>
      </w:r>
      <w:r>
        <w:t xml:space="preserve"> </w:t>
      </w:r>
      <w:r>
        <w:t xml:space="preserve">2</w:t>
      </w:r>
      <w:r>
        <w:t xml:space="preserve">). Based on the 95% bootstrap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pPr>
        <w:pStyle w:val="BodyText"/>
      </w:pPr>
      <w:r>
        <w:t xml:space="preserve">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is a simulation study with known truth, designed to test whether accounting for sampling uncertainty improves estimation bias and interval calibration across a factorial range of effect sizes and sample sizes. Together, the three analyses bracket a range of typical uses of published MPMs and allow us to ask whether the consequences of sampling uncertainty are consistent across contexts or depend on the nature of the analysis.</w:t>
      </w:r>
    </w:p>
    <w:bookmarkEnd w:id="27"/>
    <w:bookmarkStart w:id="28" w:name="X349b7ec3116bc91db23218542ca4014d9cbeed5"/>
    <w:p>
      <w:pPr>
        <w:pStyle w:val="Heading3"/>
      </w:pPr>
      <w:r>
        <w:t xml:space="preserve">Analysis 1: Comparative analysis of mortality trajectories</w:t>
      </w:r>
    </w:p>
    <w:p>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pPr>
        <w:pStyle w:val="BodyText"/>
      </w:pPr>
      <w:r>
        <w:t xml:space="preserve">To estimate mature life expectancy (</w:t>
      </w:r>
      <m:oMath>
        <m:r>
          <m:t>L</m:t>
        </m:r>
      </m:oMath>
      <w:r>
        <w:t xml:space="preserve">) and shape (</w:t>
      </w:r>
      <m:oMath>
        <m:r>
          <m:t>S</m:t>
        </m:r>
      </m:oMath>
      <w:r>
        <w:t xml:space="preserve">),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pPr>
        <w:pStyle w:val="BodyText"/>
      </w:pPr>
      <m:oMathPara>
        <m:oMathParaPr>
          <m:jc m:val="center"/>
        </m:oMathParaPr>
        <m:oMath>
          <m:r>
            <m:t>L</m:t>
          </m:r>
          <m:r>
            <m:rPr>
              <m:sty m:val="p"/>
            </m:rPr>
            <m:t>=</m:t>
          </m:r>
          <m:nary>
            <m:naryPr>
              <m:chr m:val="∑"/>
              <m:limLoc m:val="undOvr"/>
              <m:subHide m:val="off"/>
              <m:supHide m:val="on"/>
            </m:naryPr>
            <m:sub>
              <m:r>
                <m:t>x</m:t>
              </m:r>
            </m:sub>
            <m:sup>
              <m:r>
                <m:t>​</m:t>
              </m:r>
            </m:sup>
            <m:e>
              <m:sSub>
                <m:e>
                  <m:r>
                    <m:t>l</m:t>
                  </m:r>
                </m:e>
                <m:sub>
                  <m:r>
                    <m:t>x</m:t>
                  </m:r>
                </m:sub>
              </m:sSub>
            </m:e>
          </m:nary>
          <m:r>
            <m:rPr>
              <m:sty m:val="p"/>
            </m:rPr>
            <m:t>,</m:t>
          </m:r>
          <m:r>
            <m:t>  </m:t>
          </m:r>
          <m:r>
            <m:rPr>
              <m:sty m:val="p"/>
            </m:rPr>
            <m:t>(</m:t>
          </m:r>
          <m:r>
            <m:t>3</m:t>
          </m:r>
          <m:r>
            <m:rPr>
              <m:sty m:val="p"/>
            </m:rPr>
            <m:t>)</m:t>
          </m:r>
        </m:oMath>
      </m:oMathPara>
    </w:p>
    <w:p>
      <w:pPr>
        <w:pStyle w:val="FirstParagraph"/>
      </w:pPr>
      <w:r>
        <w:t xml:space="preserve">where</w:t>
      </w:r>
      <w:r>
        <w:t xml:space="preserve"> </w:t>
      </w:r>
      <m:oMath>
        <m:sSub>
          <m:e>
            <m:r>
              <m:t>l</m:t>
            </m:r>
          </m:e>
          <m:sub>
            <m:r>
              <m:t>x</m:t>
            </m:r>
          </m:sub>
        </m:sSub>
      </m:oMath>
      <w:r>
        <w:t xml:space="preserve"> </w:t>
      </w:r>
      <w:r>
        <w:t xml:space="preserve">is the proportion of a cohort surviving from reproductive maturity to age</w:t>
      </w:r>
      <w:r>
        <w:t xml:space="preserve"> </w:t>
      </w:r>
      <m:oMath>
        <m:r>
          <m:t>x</m:t>
        </m:r>
      </m:oMath>
      <w:r>
        <w:t xml:space="preserve">.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Thus, more positive values indicate that mortality is concentrated later in adult life, whereas more negative values indicate that mortality is concentrated earlier in adult life.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sections S1.2 and S1.13).</w:t>
      </w:r>
    </w:p>
    <w:p>
      <w:pPr>
        <w:pStyle w:val="BodyText"/>
      </w:pPr>
      <w:r>
        <w:t xml:space="preserve">We calculated life expectancy and shape at the population level, using one population-level MPM per population. For populations with temporal replication, we used a pooled population MPM if available (i.e. a matrix constructed by pooling individual-level demographic information across periods and/or populations); otherwise, we used a population mean MPM if available (i.e. an element-by-element arithmetic mean across annual matrices); if neither was available, we constructed a population-level matrix by taking the element-wise mean of the available annual</w:t>
      </w:r>
      <w:r>
        <w:t xml:space="preserve"> </w:t>
      </w:r>
      <w:r>
        <w:rPr>
          <w:rStyle w:val="VerbatimChar"/>
        </w:rPr>
        <w:t xml:space="preserve">Individual</w:t>
      </w:r>
      <w:r>
        <w:t xml:space="preserve"> </w:t>
      </w:r>
      <w:r>
        <w:t xml:space="preserve">matrices in COMPADRE.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pPr>
        <w:pStyle w:val="BodyText"/>
      </w:pPr>
      <w:r>
        <w:t xml:space="preserve">Across the compiled analysis set, 5 population-level matrices (representing 5 populations) had no usable recovered stage-specific sample sizes at all and therefore could not contribute to uncertainty-propagation analyses that require reconstructed sampling distributions.</w:t>
      </w:r>
    </w:p>
    <w:p>
      <w:pPr>
        <w:pStyle w:val="BodyText"/>
      </w:pPr>
      <w:r>
        <w:t xml:space="preserve">Our uncertainty-propagation workflow used recovered stage-specific or transition-specific sample sizes; total estimated population size was not systematically available across the included studies and was not used in the analyses.</w:t>
      </w:r>
    </w:p>
    <w:p>
      <w:pPr>
        <w:pStyle w:val="BodyText"/>
      </w:pPr>
      <w:r>
        <w:t xml:space="preserve">To model the relationship between point estimates of mature life expectancy and shape, we used a linear model with random intercepts at the species level (to account for non-independence among populations of the same species), as in Eq. (4),</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4</m:t>
          </m:r>
          <m:r>
            <m:rPr>
              <m:sty m:val="p"/>
            </m:rPr>
            <m:t>)</m:t>
          </m:r>
        </m:oMath>
      </m:oMathPara>
    </w:p>
    <w:p>
      <w:pPr>
        <w:pStyle w:val="FirstParagraph"/>
      </w:pPr>
      <w:r>
        <w:t xml:space="preserve">where</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represent point estimates of life expectancy and shape, respectively, for population</w:t>
      </w:r>
      <w:r>
        <w:t xml:space="preserve"> </w:t>
      </w:r>
      <m:oMath>
        <m:r>
          <m:t>i</m:t>
        </m:r>
      </m:oMath>
      <w:r>
        <w:t xml:space="preserve"> </w:t>
      </w:r>
      <w:r>
        <w:t xml:space="preserve">and species</w:t>
      </w:r>
      <w:r>
        <w:t xml:space="preserve"> </w:t>
      </w:r>
      <m:oMath>
        <m:r>
          <m:t>j</m:t>
        </m:r>
      </m:oMath>
      <w:r>
        <w:t xml:space="preserve">,</w:t>
      </w:r>
      <w:r>
        <w:t xml:space="preserve"> </w:t>
      </w:r>
      <m:oMath>
        <m:sSub>
          <m:e>
            <m:r>
              <m:t>α</m:t>
            </m:r>
          </m:e>
          <m:sub>
            <m:r>
              <m:t>j</m:t>
            </m:r>
          </m:sub>
        </m:sSub>
      </m:oMath>
      <w:r>
        <w:t xml:space="preserve"> </w:t>
      </w:r>
      <w:r>
        <w:t xml:space="preserve">represent species-specific intercepts,</w:t>
      </w:r>
      <w:r>
        <w:t xml:space="preserve"> </w:t>
      </w:r>
      <m:oMath>
        <m:r>
          <m:t>β</m:t>
        </m:r>
      </m:oMath>
      <w:r>
        <w:t xml:space="preserve"> </w:t>
      </w:r>
      <w:r>
        <w:t xml:space="preserve">is the slope of the relationship between</w:t>
      </w:r>
      <w:r>
        <w:t xml:space="preserve"> </w:t>
      </w:r>
      <m:oMath>
        <m:r>
          <m:t>S</m:t>
        </m:r>
      </m:oMath>
      <w:r>
        <w:t xml:space="preserve"> </w:t>
      </w:r>
      <w:r>
        <w:t xml:space="preserve">and</w:t>
      </w:r>
      <w:r>
        <w:t xml:space="preserve"> </w:t>
      </w:r>
      <m:oMath>
        <m:r>
          <m:t>L</m:t>
        </m:r>
      </m:oMath>
      <w:r>
        <w:t xml:space="preserve">, and</w:t>
      </w:r>
      <w:r>
        <w:t xml:space="preserve"> </w:t>
      </w:r>
      <m:oMath>
        <m:sSup>
          <m:e>
            <m:r>
              <m:t>σ</m:t>
            </m:r>
          </m:e>
          <m:sup>
            <m:r>
              <m:t>2</m:t>
            </m:r>
          </m:sup>
        </m:sSup>
      </m:oMath>
      <w:r>
        <w:t xml:space="preserve"> </w:t>
      </w:r>
      <w:r>
        <w:t xml:space="preserve">is residual variance. Species-level intercept variation is modelled as</w:t>
      </w:r>
      <w:r>
        <w:t xml:space="preserve"> </w:t>
      </w:r>
      <m:oMath>
        <m:sSub>
          <m:e>
            <m:r>
              <m:t>α</m:t>
            </m:r>
          </m:e>
          <m:sub>
            <m:r>
              <m:t>j</m:t>
            </m:r>
          </m:sub>
        </m:sSub>
        <m:r>
          <m:rPr>
            <m:sty m:val="p"/>
          </m:rPr>
          <m:t>∼</m:t>
        </m:r>
        <m:r>
          <m:rPr>
            <m:nor/>
            <m:sty m:val="p"/>
          </m:rPr>
          <m:t>Normal</m:t>
        </m:r>
        <m:r>
          <m:rPr>
            <m:sty m:val="p"/>
          </m:rPr>
          <m:t>(</m:t>
        </m:r>
        <m:sSub>
          <m:e>
            <m:r>
              <m:t>μ</m:t>
            </m:r>
          </m:e>
          <m:sub>
            <m:r>
              <m:t>α</m:t>
            </m:r>
          </m:sub>
        </m:sSub>
        <m:r>
          <m:rPr>
            <m:sty m:val="p"/>
          </m:rPr>
          <m:t>,</m:t>
        </m:r>
        <m:sSup>
          <m:e>
            <m:r>
              <m:t>τ</m:t>
            </m:r>
          </m:e>
          <m:sup>
            <m:r>
              <m:t>2</m:t>
            </m:r>
          </m:sup>
        </m:sSup>
        <m:r>
          <m:rPr>
            <m:sty m:val="p"/>
          </m:rPr>
          <m:t>)</m:t>
        </m:r>
      </m:oMath>
      <w:r>
        <w:t xml:space="preserve">, where</w:t>
      </w:r>
      <w:r>
        <w:t xml:space="preserve"> </w:t>
      </w:r>
      <m:oMath>
        <m:sSup>
          <m:e>
            <m:r>
              <m:t>τ</m:t>
            </m:r>
          </m:e>
          <m:sup>
            <m:r>
              <m:t>2</m:t>
            </m:r>
          </m:sup>
        </m:sSup>
      </m:oMath>
      <w:r>
        <w:t xml:space="preserve"> </w:t>
      </w:r>
      <w:r>
        <w:t xml:space="preserve">is the among-species intercept variance (i.e., variance of random intercepts; distinct from residual variance</w:t>
      </w:r>
      <w:r>
        <w:t xml:space="preserve"> </w:t>
      </w:r>
      <m:oMath>
        <m:sSup>
          <m:e>
            <m:r>
              <m:t>σ</m:t>
            </m:r>
          </m:e>
          <m:sup>
            <m:r>
              <m:t>2</m:t>
            </m:r>
          </m:sup>
        </m:sSup>
      </m:oMath>
      <w:r>
        <w:t xml:space="preserve">). To incorporate sampling uncertainty, we used a measurement error model (based on McElreath 2020, sec. 14.1.2) where latent</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t>
      </w:r>
      <w:r>
        <w:t xml:space="preserve">are linked to sampling-distribution means (</w:t>
      </w:r>
      <m:oMath>
        <m:sSub>
          <m:e>
            <m:acc>
              <m:accPr>
                <m:chr m:val="‾"/>
              </m:accPr>
              <m:e>
                <m:r>
                  <m:t>x</m:t>
                </m:r>
              </m:e>
            </m:acc>
          </m:e>
          <m:sub>
            <m:r>
              <m:t>i</m:t>
            </m:r>
            <m:r>
              <m:t>j</m:t>
            </m:r>
          </m:sub>
        </m:sSub>
      </m:oMath>
      <w:r>
        <w:t xml:space="preserve"> </w:t>
      </w:r>
      <w:r>
        <w:t xml:space="preserve">and</w:t>
      </w:r>
      <w:r>
        <w:t xml:space="preserve"> </w:t>
      </w:r>
      <m:oMath>
        <m:sSub>
          <m:e>
            <m:acc>
              <m:accPr>
                <m:chr m:val="‾"/>
              </m:accPr>
              <m:e>
                <m:r>
                  <m:t>y</m:t>
                </m:r>
              </m:e>
            </m:acc>
          </m:e>
          <m:sub>
            <m:r>
              <m:t>i</m:t>
            </m:r>
            <m:r>
              <m:t>j</m:t>
            </m:r>
          </m:sub>
        </m:sSub>
      </m:oMath>
      <w:r>
        <w:t xml:space="preserve">) and variances (</w:t>
      </w:r>
      <m:oMath>
        <m:sSubSup>
          <m:e>
            <m:r>
              <m:t>σ</m:t>
            </m:r>
          </m:e>
          <m:sub>
            <m:r>
              <m:t>x</m:t>
            </m:r>
            <m:r>
              <m:rPr>
                <m:sty m:val="p"/>
              </m:rPr>
              <m:t>,</m:t>
            </m:r>
            <m:r>
              <m:t>i</m:t>
            </m:r>
            <m:r>
              <m:t>j</m:t>
            </m:r>
          </m:sub>
          <m:sup>
            <m:r>
              <m:t>2</m:t>
            </m:r>
          </m:sup>
        </m:sSubSup>
      </m:oMath>
      <w:r>
        <w:t xml:space="preserve"> </w:t>
      </w:r>
      <w:r>
        <w:t xml:space="preserve">and</w:t>
      </w:r>
      <w:r>
        <w:t xml:space="preserve"> </w:t>
      </w:r>
      <m:oMath>
        <m:sSubSup>
          <m:e>
            <m:r>
              <m:t>σ</m:t>
            </m:r>
          </m:e>
          <m:sub>
            <m:r>
              <m:t>y</m:t>
            </m:r>
            <m:r>
              <m:rPr>
                <m:sty m:val="p"/>
              </m:rPr>
              <m:t>,</m:t>
            </m:r>
            <m:r>
              <m:t>i</m:t>
            </m:r>
            <m:r>
              <m:t>j</m:t>
            </m:r>
          </m:sub>
          <m:sup>
            <m:r>
              <m:t>2</m:t>
            </m:r>
          </m:sup>
        </m:sSubSup>
      </m:oMath>
      <w:r>
        <w:t xml:space="preserve">) derived as described in the sampling-distribution section above, as in Eqs. (5), (6), and (7).</w:t>
      </w:r>
    </w:p>
    <w:p>
      <w:pPr>
        <w:pStyle w:val="BodyText"/>
      </w:pPr>
      <w:r>
        <w:t xml:space="preserve">The structural form of the model is unchanged when sampling uncertainty is incorporated; Eqs. (5)-(7) restate the outcome model and add explicit sub-models for the true latent values of</w:t>
      </w:r>
      <w:r>
        <w:t xml:space="preserve"> </w:t>
      </w:r>
      <m:oMath>
        <m:sSub>
          <m:e>
            <m:r>
              <m:t>x</m:t>
            </m:r>
          </m:e>
          <m:sub>
            <m:r>
              <m:t>i</m:t>
            </m:r>
            <m:r>
              <m:t>j</m:t>
            </m:r>
          </m:sub>
        </m:sSub>
      </m:oMath>
      <w:r>
        <w:t xml:space="preserve"> </w:t>
      </w:r>
      <w:r>
        <w:t xml:space="preserve">and</w:t>
      </w:r>
      <w:r>
        <w:t xml:space="preserve"> </w:t>
      </w:r>
      <m:oMath>
        <m:sSub>
          <m:e>
            <m:r>
              <m:t>y</m:t>
            </m:r>
          </m:e>
          <m:sub>
            <m:r>
              <m:t>i</m:t>
            </m:r>
            <m:r>
              <m:t>j</m:t>
            </m:r>
          </m:sub>
        </m:sSub>
      </m:oMath>
      <w:r>
        <w:t xml:space="preserve">, which are now treated as unknown quantities estimated from their bootstrap-derived sampling distributions rather than as fixed plug-in values:</w:t>
      </w:r>
    </w:p>
    <w:p>
      <w:pPr>
        <w:pStyle w:val="BodyText"/>
      </w:pPr>
      <m:oMathPara>
        <m:oMathParaPr>
          <m:jc m:val="center"/>
        </m:oMathParaPr>
        <m:oMath>
          <m:sSub>
            <m:e>
              <m:r>
                <m:t>y</m:t>
              </m:r>
            </m:e>
            <m:sub>
              <m:r>
                <m:t>i</m:t>
              </m:r>
              <m:r>
                <m:t>j</m:t>
              </m:r>
            </m:sub>
          </m:sSub>
          <m:r>
            <m:rPr>
              <m:sty m:val="p"/>
            </m:rPr>
            <m:t>∼</m:t>
          </m:r>
          <m:r>
            <m:rPr>
              <m:nor/>
              <m:sty m:val="p"/>
            </m:rPr>
            <m:t>Normal</m:t>
          </m:r>
          <m:r>
            <m:rPr>
              <m:sty m:val="p"/>
            </m:rPr>
            <m:t>(</m:t>
          </m:r>
          <m:sSub>
            <m:e>
              <m:r>
                <m:t>α</m:t>
              </m:r>
            </m:e>
            <m:sub>
              <m:r>
                <m:t>j</m:t>
              </m:r>
            </m:sub>
          </m:sSub>
          <m:r>
            <m:rPr>
              <m:sty m:val="p"/>
            </m:rPr>
            <m:t>+</m:t>
          </m:r>
          <m:r>
            <m:t>β</m:t>
          </m:r>
          <m:sSub>
            <m:e>
              <m:r>
                <m:t>x</m:t>
              </m:r>
            </m:e>
            <m:sub>
              <m:r>
                <m:t>i</m:t>
              </m:r>
              <m:r>
                <m:t>j</m:t>
              </m:r>
            </m:sub>
          </m:sSub>
          <m:r>
            <m:rPr>
              <m:sty m:val="p"/>
            </m:rPr>
            <m:t>,</m:t>
          </m:r>
          <m:sSup>
            <m:e>
              <m:r>
                <m:t>σ</m:t>
              </m:r>
            </m:e>
            <m:sup>
              <m:r>
                <m:t>2</m:t>
              </m:r>
            </m:sup>
          </m:sSup>
          <m:r>
            <m:rPr>
              <m:sty m:val="p"/>
            </m:rPr>
            <m:t>)</m:t>
          </m:r>
          <m:r>
            <m:rPr>
              <m:sty m:val="p"/>
            </m:rPr>
            <m:t>,</m:t>
          </m:r>
          <m:r>
            <m:t>  </m:t>
          </m:r>
          <m:r>
            <m:rPr>
              <m:sty m:val="p"/>
            </m:rPr>
            <m:t>(</m:t>
          </m:r>
          <m:r>
            <m:t>5</m:t>
          </m:r>
          <m:r>
            <m:rPr>
              <m:sty m:val="p"/>
            </m:rPr>
            <m:t>)</m:t>
          </m:r>
        </m:oMath>
      </m:oMathPara>
    </w:p>
    <w:p>
      <w:pPr>
        <w:pStyle w:val="FirstParagraph"/>
      </w:pPr>
      <m:oMathPara>
        <m:oMathParaPr>
          <m:jc m:val="center"/>
        </m:oMathParaPr>
        <m:oMath>
          <m:sSub>
            <m:e>
              <m:acc>
                <m:accPr>
                  <m:chr m:val="‾"/>
                </m:accPr>
                <m:e>
                  <m:r>
                    <m:t>x</m:t>
                  </m:r>
                </m:e>
              </m:acc>
            </m:e>
            <m:sub>
              <m:r>
                <m:t>i</m:t>
              </m:r>
              <m:r>
                <m:t>j</m:t>
              </m:r>
            </m:sub>
          </m:sSub>
          <m:r>
            <m:rPr>
              <m:sty m:val="p"/>
            </m:rPr>
            <m:t>∼</m:t>
          </m:r>
          <m:r>
            <m:rPr>
              <m:nor/>
              <m:sty m:val="p"/>
            </m:rPr>
            <m:t>Normal</m:t>
          </m:r>
          <m:r>
            <m:rPr>
              <m:sty m:val="p"/>
            </m:rPr>
            <m:t>(</m:t>
          </m:r>
          <m:sSub>
            <m:e>
              <m:r>
                <m:t>x</m:t>
              </m:r>
            </m:e>
            <m:sub>
              <m:r>
                <m:t>i</m:t>
              </m:r>
              <m:r>
                <m:t>j</m:t>
              </m:r>
            </m:sub>
          </m:sSub>
          <m:r>
            <m:rPr>
              <m:sty m:val="p"/>
            </m:rPr>
            <m:t>,</m:t>
          </m:r>
          <m:sSubSup>
            <m:e>
              <m:r>
                <m:t>σ</m:t>
              </m:r>
            </m:e>
            <m:sub>
              <m:r>
                <m:t>x</m:t>
              </m:r>
              <m:r>
                <m:rPr>
                  <m:sty m:val="p"/>
                </m:rPr>
                <m:t>,</m:t>
              </m:r>
              <m:r>
                <m:t>i</m:t>
              </m:r>
              <m:r>
                <m:t>j</m:t>
              </m:r>
            </m:sub>
            <m:sup>
              <m:r>
                <m:t>2</m:t>
              </m:r>
            </m:sup>
          </m:sSubSup>
          <m:r>
            <m:rPr>
              <m:sty m:val="p"/>
            </m:rPr>
            <m:t>)</m:t>
          </m:r>
          <m:r>
            <m:rPr>
              <m:sty m:val="p"/>
            </m:rPr>
            <m:t>,</m:t>
          </m:r>
          <m:r>
            <m:t>  </m:t>
          </m:r>
          <m:r>
            <m:rPr>
              <m:sty m:val="p"/>
            </m:rPr>
            <m:t>(</m:t>
          </m:r>
          <m:r>
            <m:t>6</m:t>
          </m:r>
          <m:r>
            <m:rPr>
              <m:sty m:val="p"/>
            </m:rPr>
            <m:t>)</m:t>
          </m:r>
        </m:oMath>
      </m:oMathPara>
    </w:p>
    <w:p>
      <w:pPr>
        <w:pStyle w:val="FirstParagraph"/>
      </w:pPr>
      <m:oMathPara>
        <m:oMathParaPr>
          <m:jc m:val="center"/>
        </m:oMathParaPr>
        <m:oMath>
          <m:sSub>
            <m:e>
              <m:acc>
                <m:accPr>
                  <m:chr m:val="‾"/>
                </m:accPr>
                <m:e>
                  <m:r>
                    <m:t>y</m:t>
                  </m:r>
                </m:e>
              </m:acc>
            </m:e>
            <m:sub>
              <m:r>
                <m:t>i</m:t>
              </m:r>
              <m:r>
                <m:t>j</m:t>
              </m:r>
            </m:sub>
          </m:sSub>
          <m:r>
            <m:rPr>
              <m:sty m:val="p"/>
            </m:rPr>
            <m:t>∼</m:t>
          </m:r>
          <m:r>
            <m:rPr>
              <m:nor/>
              <m:sty m:val="p"/>
            </m:rPr>
            <m:t>Normal</m:t>
          </m:r>
          <m:r>
            <m:rPr>
              <m:sty m:val="p"/>
            </m:rPr>
            <m:t>(</m:t>
          </m:r>
          <m:sSub>
            <m:e>
              <m:r>
                <m:t>y</m:t>
              </m:r>
            </m:e>
            <m:sub>
              <m:r>
                <m:t>i</m:t>
              </m:r>
              <m:r>
                <m:t>j</m:t>
              </m:r>
            </m:sub>
          </m:sSub>
          <m:r>
            <m:rPr>
              <m:sty m:val="p"/>
            </m:rPr>
            <m:t>,</m:t>
          </m:r>
          <m:sSubSup>
            <m:e>
              <m:r>
                <m:t>σ</m:t>
              </m:r>
            </m:e>
            <m:sub>
              <m:r>
                <m:t>y</m:t>
              </m:r>
              <m:r>
                <m:rPr>
                  <m:sty m:val="p"/>
                </m:rPr>
                <m:t>,</m:t>
              </m:r>
              <m:r>
                <m:t>i</m:t>
              </m:r>
              <m:r>
                <m:t>j</m:t>
              </m:r>
            </m:sub>
            <m:sup>
              <m:r>
                <m:t>2</m:t>
              </m:r>
            </m:sup>
          </m:sSubSup>
          <m:r>
            <m:rPr>
              <m:sty m:val="p"/>
            </m:rPr>
            <m:t>)</m:t>
          </m:r>
          <m:r>
            <m:rPr>
              <m:sty m:val="p"/>
            </m:rPr>
            <m:t>.</m:t>
          </m:r>
          <m:r>
            <m:t>  </m:t>
          </m:r>
          <m:r>
            <m:rPr>
              <m:sty m:val="p"/>
            </m:rPr>
            <m:t>(</m:t>
          </m:r>
          <m:r>
            <m:t>7</m:t>
          </m:r>
          <m:r>
            <m:rPr>
              <m:sty m:val="p"/>
            </m:rPr>
            <m:t>)</m:t>
          </m:r>
        </m:oMath>
      </m:oMathPara>
    </w:p>
    <w:p>
      <w:pPr>
        <w:pStyle w:val="FirstParagraph"/>
      </w:pPr>
      <w:r>
        <w:t xml:space="preserve">For these models, we used priors and settings as described in Supplementary Methods section S1.4.</w:t>
      </w:r>
    </w:p>
    <w:p>
      <w:pPr>
        <w:pStyle w:val="BodyText"/>
      </w:pPr>
      <w:r>
        <w:t xml:space="preserve">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Supplementary Methods section S1.5 and Supplementary Table S3.</w:t>
      </w:r>
    </w:p>
    <w:bookmarkEnd w:id="28"/>
    <w:bookmarkStart w:id="29" w:name="Xa6846656006b1b9058ef913d8de9a898b7446a1"/>
    <w:p>
      <w:pPr>
        <w:pStyle w:val="Heading3"/>
      </w:pPr>
      <w:r>
        <w:t xml:space="preserve">Analysis 2: The impact of weather on demographic traits</w:t>
      </w:r>
    </w:p>
    <w:p>
      <w:pPr>
        <w:pStyle w:val="FirstParagraph"/>
      </w:pPr>
      <w:r>
        <w:t xml:space="preserve">We focus on a 12-year MPM time-series for</w:t>
      </w:r>
      <w:r>
        <w:t xml:space="preserve"> </w:t>
      </w:r>
      <w:r>
        <w:rPr>
          <w:i/>
          <w:iCs/>
        </w:rPr>
        <w:t xml:space="preserve">Silene spaldingii</w:t>
      </w:r>
      <w:r>
        <w:t xml:space="preserve"> </w:t>
      </w:r>
      <w:r>
        <w:t xml:space="preserve">(Lesica and Crone 2007), a perennial herb found in semi-arid grasslands of western North America. We selected this case because it provides a rare combination of multi-year temporal replication, recoverable transition-level sample sizes, and matched local climate covariates (PRISM data extracted at the geographic coordinates of the study population and matched in time to the demographic observations),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only on the reproductive transition (hereafter ‘recruitment’, the number of seedlings in year</w:t>
      </w:r>
      <w:r>
        <w:t xml:space="preserve"> </w:t>
      </w:r>
      <m:oMath>
        <m:r>
          <m:t>t</m:t>
        </m:r>
      </m:oMath>
      <w:r>
        <w:t xml:space="preserve"> </w:t>
      </w:r>
      <w:r>
        <w:t xml:space="preserve">per reproductive plant in year</w:t>
      </w:r>
      <w:r>
        <w:t xml:space="preserve"> </w:t>
      </w:r>
      <m:oMath>
        <m:r>
          <m:t>t</m:t>
        </m:r>
        <m:r>
          <m:rPr>
            <m:sty m:val="p"/>
          </m:rPr>
          <m:t>−</m:t>
        </m:r>
        <m:r>
          <m:t>1</m:t>
        </m:r>
      </m:oMath>
      <w:r>
        <w:t xml:space="preserve">).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The robustness we observe in this analysis therefore reflects properties of aggregate reproductive transitions under moderate sample sizes, and should not be taken as evidence that within-species analyses are always insensitive to sampling uncertainty.</w:t>
      </w:r>
    </w:p>
    <w:p>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w:t>
      </w:r>
      <w:r>
        <w:t xml:space="preserve"> </w:t>
      </w:r>
      <m:oMath>
        <m:r>
          <m:t>K</m:t>
        </m:r>
      </m:oMath>
      <w:r>
        <w:t xml:space="preserve"> </w:t>
      </w:r>
      <w:r>
        <w:t xml:space="preserve">monthly lags (i.e., going back in time from the end of a given transition interval) in a way that allows smoothing of coefficients across nearby lags. The smoothing model we use here is a Gaussian process with an exponential covariance function, as in Eq. (8),</w:t>
      </w:r>
    </w:p>
    <w:p>
      <w:pPr>
        <w:pStyle w:val="BodyText"/>
      </w:pPr>
      <m:oMathPara>
        <m:oMathParaPr>
          <m:jc m:val="center"/>
        </m:oMathParaPr>
        <m:oMath>
          <m:r>
            <m:rPr>
              <m:sty m:val="p"/>
            </m:rPr>
            <m:t>log</m:t>
          </m:r>
          <m:r>
            <m:rPr>
              <m:sty m:val="p"/>
            </m:rPr>
            <m:t>(</m:t>
          </m:r>
          <m:sSub>
            <m:e>
              <m:r>
                <m:t>y</m:t>
              </m:r>
            </m:e>
            <m:sub>
              <m:r>
                <m:t>t</m:t>
              </m:r>
            </m:sub>
          </m:sSub>
          <m:r>
            <m:rPr>
              <m:sty m:val="p"/>
            </m:rPr>
            <m:t>)</m:t>
          </m:r>
          <m:r>
            <m:rPr>
              <m:sty m:val="p"/>
            </m:rPr>
            <m:t>∼</m:t>
          </m:r>
          <m:r>
            <m:rPr>
              <m:nor/>
              <m:sty m:val="p"/>
            </m:rPr>
            <m:t>Normal</m:t>
          </m:r>
          <m:r>
            <m:t>​</m:t>
          </m:r>
          <m:d>
            <m:dPr>
              <m:begChr m:val="("/>
              <m:sepChr m:val=""/>
              <m:endChr m:val=")"/>
              <m:grow/>
            </m:dPr>
            <m:e>
              <m:r>
                <m:t>α</m:t>
              </m:r>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r>
                <m:rPr>
                  <m:sty m:val="p"/>
                </m:rPr>
                <m:t>,</m:t>
              </m:r>
              <m:sSup>
                <m:e>
                  <m:r>
                    <m:t>σ</m:t>
                  </m:r>
                </m:e>
                <m:sup>
                  <m:r>
                    <m:t>2</m:t>
                  </m:r>
                </m:sup>
              </m:sSup>
            </m:e>
          </m:d>
          <m:r>
            <m:t>  </m:t>
          </m:r>
          <m:r>
            <m:rPr>
              <m:sty m:val="p"/>
            </m:rPr>
            <m:t>(</m:t>
          </m:r>
          <m:r>
            <m:t>8</m:t>
          </m:r>
          <m:r>
            <m:rPr>
              <m:sty m:val="p"/>
            </m:rPr>
            <m:t>)</m:t>
          </m:r>
        </m:oMath>
      </m:oMathPara>
    </w:p>
    <w:p>
      <w:pPr>
        <w:pStyle w:val="FirstParagraph"/>
      </w:pPr>
      <w:r>
        <w:t xml:space="preserve">with the monthly-coefficient prior and covariance structure given in Eqs. (9) and (10),</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
            </m:rPr>
            <m:t>K</m:t>
          </m:r>
          <m:r>
            <m:rPr>
              <m:sty m:val="p"/>
            </m:rPr>
            <m:t>)</m:t>
          </m:r>
          <m:r>
            <m:t>  </m:t>
          </m:r>
          <m:r>
            <m:rPr>
              <m:sty m:val="p"/>
            </m:rPr>
            <m:t>(</m:t>
          </m:r>
          <m:r>
            <m:t>9</m:t>
          </m:r>
          <m:r>
            <m:rPr>
              <m:sty m:val="p"/>
            </m:rPr>
            <m:t>)</m:t>
          </m:r>
        </m:oMath>
      </m:oMathPara>
    </w:p>
    <w:p>
      <w:pPr>
        <w:pStyle w:val="FirstParagraph"/>
      </w:pPr>
      <w:r>
        <w:t xml:space="preserve">and</w:t>
      </w:r>
    </w:p>
    <w:p>
      <w:pPr>
        <w:pStyle w:val="BodyText"/>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t>  </m:t>
          </m:r>
          <m:r>
            <m:rPr>
              <m:sty m:val="p"/>
            </m:rPr>
            <m:t>(</m:t>
          </m:r>
          <m:r>
            <m:t>10</m:t>
          </m:r>
          <m:r>
            <m:rPr>
              <m:sty m:val="p"/>
            </m:rPr>
            <m:t>)</m:t>
          </m:r>
        </m:oMath>
      </m:oMathPara>
    </w:p>
    <w:p>
      <w:pPr>
        <w:pStyle w:val="FirstParagraph"/>
      </w:pPr>
      <w:r>
        <w:t xml:space="preserve">respectively.</w:t>
      </w:r>
    </w:p>
    <w:p>
      <w:pPr>
        <w:pStyle w:val="BodyText"/>
      </w:pPr>
      <w:r>
        <w:t xml:space="preserve">where</w:t>
      </w:r>
      <w:r>
        <w:t xml:space="preserve"> </w:t>
      </w:r>
      <m:oMath>
        <m:sSub>
          <m:e>
            <m:r>
              <m:t>y</m:t>
            </m:r>
          </m:e>
          <m:sub>
            <m:r>
              <m:t>t</m:t>
            </m:r>
          </m:sub>
        </m:sSub>
      </m:oMath>
      <w:r>
        <w:t xml:space="preserve"> </w:t>
      </w:r>
      <w:r>
        <w:t xml:space="preserve">is annual recruitment in year</w:t>
      </w:r>
      <w:r>
        <w:t xml:space="preserve"> </w:t>
      </w:r>
      <m:oMath>
        <m:r>
          <m:t>t</m:t>
        </m:r>
      </m:oMath>
      <w:r>
        <w:t xml:space="preserve">, and</w:t>
      </w:r>
      <w:r>
        <w:t xml:space="preserve"> </w:t>
      </w:r>
      <m:oMath>
        <m:sSub>
          <m:e>
            <m:r>
              <m:t>x</m:t>
            </m:r>
          </m:e>
          <m:sub>
            <m:r>
              <m:t>t</m:t>
            </m:r>
            <m:r>
              <m:t>k</m:t>
            </m:r>
          </m:sub>
        </m:sSub>
      </m:oMath>
      <w:r>
        <w:t xml:space="preserve"> </w:t>
      </w:r>
      <w:r>
        <w:t xml:space="preserve">is the temperature deviation for year</w:t>
      </w:r>
      <w:r>
        <w:t xml:space="preserve"> </w:t>
      </w:r>
      <m:oMath>
        <m:r>
          <m:t>t</m:t>
        </m:r>
      </m:oMath>
      <w:r>
        <w:t xml:space="preserve"> </w:t>
      </w:r>
      <w:r>
        <w:t xml:space="preserve">at monthly lag</w:t>
      </w:r>
      <w:r>
        <w:t xml:space="preserve"> </w:t>
      </w:r>
      <m:oMath>
        <m:r>
          <m:t>k</m:t>
        </m:r>
      </m:oMath>
      <w:r>
        <w:t xml:space="preserve">. Model parameters include the intercept (</w:t>
      </w:r>
      <m:oMath>
        <m:r>
          <m:t>α</m:t>
        </m:r>
      </m:oMath>
      <w:r>
        <w:t xml:space="preserve">), residual variance (</w:t>
      </w:r>
      <m:oMath>
        <m:sSup>
          <m:e>
            <m:r>
              <m:t>σ</m:t>
            </m:r>
          </m:e>
          <m:sup>
            <m:r>
              <m:t>2</m:t>
            </m:r>
          </m:sup>
        </m:sSup>
      </m:oMath>
      <w:r>
        <w:t xml:space="preserve">), vector of monthly temperature coefficients (</w:t>
      </w:r>
      <m:oMath>
        <m:r>
          <m:t>b</m:t>
        </m:r>
      </m:oMath>
      <w:r>
        <w:t xml:space="preserve">), mean of the distribution of</w:t>
      </w:r>
      <w:r>
        <w:t xml:space="preserve"> </w:t>
      </w:r>
      <m:oMath>
        <m:r>
          <m:t>b</m:t>
        </m:r>
      </m:oMath>
      <w:r>
        <w:t xml:space="preserve"> </w:t>
      </w:r>
      <w:r>
        <w:t xml:space="preserve">(</w:t>
      </w:r>
      <m:oMath>
        <m:sSub>
          <m:e>
            <m:r>
              <m:t>μ</m:t>
            </m:r>
          </m:e>
          <m:sub>
            <m:r>
              <m:t>b</m:t>
            </m:r>
          </m:sub>
        </m:sSub>
      </m:oMath>
      <w:r>
        <w:t xml:space="preserve">), covariance matrix (</w:t>
      </w:r>
      <m:oMath>
        <m:r>
          <m:rPr>
            <m:sty m:val="b"/>
          </m:rPr>
          <m:t>K</m:t>
        </m:r>
      </m:oMath>
      <w:r>
        <w:t xml:space="preserve">), maximum covariance for the</w:t>
      </w:r>
      <w:r>
        <w:t xml:space="preserve"> </w:t>
      </w:r>
      <m:oMath>
        <m:r>
          <m:t>b</m:t>
        </m:r>
      </m:oMath>
      <w:r>
        <w:t xml:space="preserve"> </w:t>
      </w:r>
      <w:r>
        <w:t xml:space="preserve">distribution (</w:t>
      </w:r>
      <m:oMath>
        <m:sSup>
          <m:e>
            <m:r>
              <m:t>η</m:t>
            </m:r>
          </m:e>
          <m:sup>
            <m:r>
              <m:t>2</m:t>
            </m:r>
          </m:sup>
        </m:sSup>
      </m:oMath>
      <w:r>
        <w:t xml:space="preserve">), and the rate of decay in covariance with time (</w:t>
      </w:r>
      <m:oMath>
        <m:sSup>
          <m:e>
            <m:r>
              <m:t>ρ</m:t>
            </m:r>
          </m:e>
          <m:sup>
            <m:r>
              <m:t>2</m:t>
            </m:r>
          </m:sup>
        </m:sSup>
      </m:oMath>
      <w:r>
        <w:t xml:space="preserve">).</w:t>
      </w:r>
    </w:p>
    <w:p>
      <w:pPr>
        <w:pStyle w:val="BodyText"/>
      </w:pPr>
      <w:r>
        <w:t xml:space="preserve">In the model above,</w:t>
      </w:r>
      <w:r>
        <w:t xml:space="preserve"> </w:t>
      </w:r>
      <m:oMath>
        <m:sSub>
          <m:e>
            <m:r>
              <m:t>y</m:t>
            </m:r>
          </m:e>
          <m:sub>
            <m:r>
              <m:t>t</m:t>
            </m:r>
          </m:sub>
        </m:sSub>
      </m:oMath>
      <w:r>
        <w:t xml:space="preserve"> </w:t>
      </w:r>
      <w:r>
        <w:t xml:space="preserve">represents a point estimate of annual recruitment derived from the relevant MPM. Recall that these values were initially calculated as the number of seedlings in year</w:t>
      </w:r>
      <w:r>
        <w:t xml:space="preserve"> </w:t>
      </w:r>
      <m:oMath>
        <m:r>
          <m:t>t</m:t>
        </m:r>
      </m:oMath>
      <w:r>
        <w:t xml:space="preserve"> </w:t>
      </w:r>
      <w:r>
        <w:t xml:space="preserve">divided by the number of reproductive adults in year</w:t>
      </w:r>
      <w:r>
        <w:t xml:space="preserve"> </w:t>
      </w:r>
      <m:oMath>
        <m:r>
          <m:t>t</m:t>
        </m:r>
        <m:r>
          <m:rPr>
            <m:sty m:val="p"/>
          </m:rPr>
          <m:t>−</m:t>
        </m:r>
        <m:r>
          <m:t>1</m:t>
        </m:r>
      </m:oMath>
      <w:r>
        <w:t xml:space="preserve">. To propagate sampling uncertainty, we model the raw seedling counts directly with a Poisson likelihood (Eq. (11)) and include</w:t>
      </w:r>
      <w:r>
        <w:t xml:space="preserve"> </w:t>
      </w:r>
      <m:oMath>
        <m:r>
          <m:rPr>
            <m:sty m:val="p"/>
          </m:rPr>
          <m:t>log</m:t>
        </m:r>
        <m:r>
          <m:rPr>
            <m:sty m:val="p"/>
          </m:rPr>
          <m:t>(</m:t>
        </m:r>
        <m:sSub>
          <m:e>
            <m:r>
              <m:t>N</m:t>
            </m:r>
          </m:e>
          <m:sub>
            <m:r>
              <m:t>t</m:t>
            </m:r>
            <m:r>
              <m:rPr>
                <m:sty m:val="p"/>
              </m:rPr>
              <m:t>−</m:t>
            </m:r>
            <m:r>
              <m:t>1</m:t>
            </m:r>
          </m:sub>
        </m:sSub>
        <m:r>
          <m:rPr>
            <m:sty m:val="p"/>
          </m:rPr>
          <m:t>)</m:t>
        </m:r>
      </m:oMath>
      <w:r>
        <w:t xml:space="preserve"> </w:t>
      </w:r>
      <w:r>
        <w:t xml:space="preserve">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 Accordingly, we model seedling counts as</w:t>
      </w:r>
    </w:p>
    <w:p>
      <w:pPr>
        <w:pStyle w:val="BodyText"/>
      </w:pPr>
      <m:oMathPara>
        <m:oMathParaPr>
          <m:jc m:val="center"/>
        </m:oMathParaPr>
        <m:oMath>
          <m:sSub>
            <m:e>
              <m:r>
                <m:t>Y</m:t>
              </m:r>
            </m:e>
            <m:sub>
              <m:r>
                <m:t>t</m:t>
              </m:r>
            </m:sub>
          </m:sSub>
          <m:r>
            <m:rPr>
              <m:sty m:val="p"/>
            </m:rPr>
            <m:t>∼</m:t>
          </m:r>
          <m:r>
            <m:rPr>
              <m:nor/>
              <m:sty m:val="p"/>
            </m:rPr>
            <m:t>Poisson</m:t>
          </m:r>
          <m:r>
            <m:t>​</m:t>
          </m:r>
          <m:d>
            <m:dPr>
              <m:begChr m:val="("/>
              <m:sepChr m:val=""/>
              <m:endChr m:val=")"/>
              <m:grow/>
            </m:dPr>
            <m:e>
              <m:r>
                <m:rPr>
                  <m:sty m:val="p"/>
                </m:rPr>
                <m:t>exp</m:t>
              </m:r>
              <m:r>
                <m:t>​</m:t>
              </m:r>
              <m:d>
                <m:dPr>
                  <m:begChr m:val="("/>
                  <m:sepChr m:val=""/>
                  <m:endChr m:val=")"/>
                  <m:grow/>
                </m:dPr>
                <m:e>
                  <m:sSub>
                    <m:e>
                      <m:r>
                        <m:t>α</m:t>
                      </m:r>
                    </m:e>
                    <m:sub>
                      <m:r>
                        <m:t>t</m:t>
                      </m:r>
                    </m:sub>
                  </m:sSub>
                  <m:r>
                    <m:rPr>
                      <m:sty m:val="p"/>
                    </m:rPr>
                    <m:t>+</m:t>
                  </m:r>
                  <m:nary>
                    <m:naryPr>
                      <m:chr m:val="∑"/>
                      <m:limLoc m:val="undOvr"/>
                      <m:subHide m:val="off"/>
                      <m:supHide m:val="on"/>
                    </m:naryPr>
                    <m:sub>
                      <m:r>
                        <m:t>k</m:t>
                      </m:r>
                    </m:sub>
                    <m:sup>
                      <m:r>
                        <m:t>​</m:t>
                      </m:r>
                    </m:sup>
                    <m:e>
                      <m:sSub>
                        <m:e>
                          <m:r>
                            <m:t>b</m:t>
                          </m:r>
                        </m:e>
                        <m:sub>
                          <m:r>
                            <m:t>k</m:t>
                          </m:r>
                        </m:sub>
                      </m:sSub>
                    </m:e>
                  </m:nary>
                  <m:sSub>
                    <m:e>
                      <m:r>
                        <m:t>x</m:t>
                      </m:r>
                    </m:e>
                    <m:sub>
                      <m:r>
                        <m:t>t</m:t>
                      </m:r>
                      <m:r>
                        <m:t>k</m:t>
                      </m:r>
                    </m:sub>
                  </m:sSub>
                </m:e>
              </m:d>
            </m:e>
          </m:d>
          <m:r>
            <m:t>  </m:t>
          </m:r>
          <m:r>
            <m:rPr>
              <m:sty m:val="p"/>
            </m:rPr>
            <m:t>(</m:t>
          </m:r>
          <m:r>
            <m:t>11</m:t>
          </m:r>
          <m:r>
            <m:rPr>
              <m:sty m:val="p"/>
            </m:rPr>
            <m:t>)</m:t>
          </m:r>
        </m:oMath>
      </m:oMathPara>
    </w:p>
    <w:p>
      <w:pPr>
        <w:pStyle w:val="FirstParagraph"/>
      </w:pPr>
      <w:r>
        <w:t xml:space="preserve">and year-specific intercepts as</w:t>
      </w:r>
    </w:p>
    <w:p>
      <w:pPr>
        <w:pStyle w:val="BodyText"/>
      </w:pPr>
      <m:oMathPara>
        <m:oMathParaPr>
          <m:jc m:val="center"/>
        </m:oMathParaPr>
        <m:oMath>
          <m:sSub>
            <m:e>
              <m:r>
                <m:t>α</m:t>
              </m:r>
            </m:e>
            <m:sub>
              <m:r>
                <m:t>t</m:t>
              </m:r>
            </m:sub>
          </m:sSub>
          <m:r>
            <m:rPr>
              <m:sty m:val="p"/>
            </m:rPr>
            <m:t>∼</m:t>
          </m:r>
          <m:r>
            <m:rPr>
              <m:nor/>
              <m:sty m:val="p"/>
            </m:rPr>
            <m:t>Normal</m:t>
          </m:r>
          <m:r>
            <m:t>​</m:t>
          </m:r>
          <m:d>
            <m:dPr>
              <m:begChr m:val="("/>
              <m:sepChr m:val=""/>
              <m:endChr m:val=")"/>
              <m:grow/>
            </m:dPr>
            <m:e>
              <m:sSub>
                <m:e>
                  <m:r>
                    <m:t>μ</m:t>
                  </m:r>
                </m:e>
                <m:sub>
                  <m:r>
                    <m:t>α</m:t>
                  </m:r>
                </m:sub>
              </m:sSub>
              <m:r>
                <m:rPr>
                  <m:sty m:val="p"/>
                </m:rPr>
                <m:t>+</m:t>
              </m:r>
              <m:r>
                <m:rPr>
                  <m:sty m:val="p"/>
                </m:rPr>
                <m:t>log</m:t>
              </m:r>
              <m:r>
                <m:rPr>
                  <m:sty m:val="p"/>
                </m:rPr>
                <m:t>(</m:t>
              </m:r>
              <m:sSub>
                <m:e>
                  <m:r>
                    <m:t>N</m:t>
                  </m:r>
                </m:e>
                <m:sub>
                  <m:r>
                    <m:t>t</m:t>
                  </m:r>
                  <m:r>
                    <m:rPr>
                      <m:sty m:val="p"/>
                    </m:rPr>
                    <m:t>−</m:t>
                  </m:r>
                  <m:r>
                    <m:t>1</m:t>
                  </m:r>
                </m:sub>
              </m:sSub>
              <m:r>
                <m:rPr>
                  <m:sty m:val="p"/>
                </m:rPr>
                <m:t>)</m:t>
              </m:r>
              <m:r>
                <m:rPr>
                  <m:sty m:val="p"/>
                </m:rPr>
                <m:t>,</m:t>
              </m:r>
              <m:sSubSup>
                <m:e>
                  <m:r>
                    <m:t>σ</m:t>
                  </m:r>
                </m:e>
                <m:sub>
                  <m:r>
                    <m:t>α</m:t>
                  </m:r>
                </m:sub>
                <m:sup>
                  <m:r>
                    <m:t>2</m:t>
                  </m:r>
                </m:sup>
              </m:sSubSup>
            </m:e>
          </m:d>
          <m:r>
            <m:t>  </m:t>
          </m:r>
          <m:r>
            <m:rPr>
              <m:sty m:val="p"/>
            </m:rPr>
            <m:t>(</m:t>
          </m:r>
          <m:r>
            <m:t>12</m:t>
          </m:r>
          <m:r>
            <m:rPr>
              <m:sty m:val="p"/>
            </m:rPr>
            <m:t>)</m:t>
          </m:r>
        </m:oMath>
      </m:oMathPara>
    </w:p>
    <w:p>
      <w:pPr>
        <w:pStyle w:val="FirstParagraph"/>
      </w:pPr>
      <w:r>
        <w:t xml:space="preserve">This implies that uncertainty in per-capita recruitment declines with sample size: if</w:t>
      </w:r>
      <w:r>
        <w:t xml:space="preserve"> </w:t>
      </w:r>
      <m:oMath>
        <m:sSub>
          <m:e>
            <m:acc>
              <m:accPr>
                <m:chr m:val="̂"/>
              </m:accPr>
              <m:e>
                <m:r>
                  <m:t>r</m:t>
                </m:r>
              </m:e>
            </m:acc>
          </m:e>
          <m:sub>
            <m:r>
              <m:t>t</m:t>
            </m:r>
          </m:sub>
        </m:sSub>
        <m:r>
          <m:rPr>
            <m:sty m:val="p"/>
          </m:rPr>
          <m:t>=</m:t>
        </m:r>
        <m:sSub>
          <m:e>
            <m:r>
              <m:t>Y</m:t>
            </m:r>
          </m:e>
          <m:sub>
            <m:r>
              <m:t>t</m:t>
            </m:r>
          </m:sub>
        </m:sSub>
        <m:r>
          <m:rPr>
            <m:sty m:val="p"/>
          </m:rPr>
          <m:t>/</m:t>
        </m:r>
        <m:sSub>
          <m:e>
            <m:r>
              <m:t>N</m:t>
            </m:r>
          </m:e>
          <m:sub>
            <m:r>
              <m:t>t</m:t>
            </m:r>
            <m:r>
              <m:rPr>
                <m:sty m:val="p"/>
              </m:rPr>
              <m:t>−</m:t>
            </m:r>
            <m:r>
              <m:t>1</m:t>
            </m:r>
          </m:sub>
        </m:sSub>
      </m:oMath>
      <w:r>
        <w:t xml:space="preserve">, then</w:t>
      </w:r>
      <w:r>
        <w:t xml:space="preserve"> </w:t>
      </w:r>
      <m:oMath>
        <m:r>
          <m:rPr>
            <m:sty m:val="p"/>
          </m:rPr>
          <m:t>V</m:t>
        </m:r>
        <m:r>
          <m:rPr>
            <m:sty m:val="p"/>
          </m:rPr>
          <m:t>a</m:t>
        </m:r>
        <m:r>
          <m:rPr>
            <m:sty m:val="p"/>
          </m:rPr>
          <m:t>r</m:t>
        </m:r>
        <m:r>
          <m:rPr>
            <m:sty m:val="p"/>
          </m:rPr>
          <m:t>(</m:t>
        </m:r>
        <m:sSub>
          <m:e>
            <m:acc>
              <m:accPr>
                <m:chr m:val="̂"/>
              </m:accPr>
              <m:e>
                <m:r>
                  <m:t>r</m:t>
                </m:r>
              </m:e>
            </m:acc>
          </m:e>
          <m:sub>
            <m:r>
              <m:t>t</m:t>
            </m:r>
          </m:sub>
        </m:sSub>
        <m:r>
          <m:rPr>
            <m:sty m:val="p"/>
          </m:rPr>
          <m:t>)</m:t>
        </m:r>
      </m:oMath>
      <w:r>
        <w:t xml:space="preserve"> </w:t>
      </w:r>
      <w:r>
        <w:t xml:space="preserve">scales as</w:t>
      </w:r>
      <w:r>
        <w:t xml:space="preserve"> </w:t>
      </w:r>
      <m:oMath>
        <m:r>
          <m:t>1</m:t>
        </m:r>
        <m:r>
          <m:rPr>
            <m:sty m:val="p"/>
          </m:rPr>
          <m:t>/</m:t>
        </m:r>
        <m:sSub>
          <m:e>
            <m:r>
              <m:t>N</m:t>
            </m:r>
          </m:e>
          <m:sub>
            <m:r>
              <m:t>t</m:t>
            </m:r>
            <m:r>
              <m:rPr>
                <m:sty m:val="p"/>
              </m:rPr>
              <m:t>−</m:t>
            </m:r>
            <m:r>
              <m:t>1</m:t>
            </m:r>
          </m:sub>
        </m:sSub>
      </m:oMath>
      <w:r>
        <w:t xml:space="preserve"> </w:t>
      </w:r>
      <w:r>
        <w:t xml:space="preserve">for fixed underlying recruitment intensity.</w:t>
      </w:r>
    </w:p>
    <w:p>
      <w:pPr>
        <w:pStyle w:val="BodyText"/>
      </w:pPr>
      <w:r>
        <w:t xml:space="preserve">with the same coefficient prior and covariance structure (Eqs. (13) and (14)):</w:t>
      </w:r>
    </w:p>
    <w:p>
      <w:pPr>
        <w:pStyle w:val="BodyText"/>
      </w:pPr>
      <m:oMathPara>
        <m:oMathParaPr>
          <m:jc m:val="center"/>
        </m:oMathParaPr>
        <m:oMath>
          <m:r>
            <m:t>b</m:t>
          </m:r>
          <m:r>
            <m:rPr>
              <m:sty m:val="p"/>
            </m:rPr>
            <m:t>∼</m:t>
          </m:r>
          <m:r>
            <m:rPr>
              <m:nor/>
              <m:sty m:val="p"/>
            </m:rPr>
            <m:t>MVN</m:t>
          </m:r>
          <m:r>
            <m:rPr>
              <m:sty m:val="p"/>
            </m:rPr>
            <m:t>(</m:t>
          </m:r>
          <m:sSub>
            <m:e>
              <m:r>
                <m:t>μ</m:t>
              </m:r>
            </m:e>
            <m:sub>
              <m:r>
                <m:t>b</m:t>
              </m:r>
            </m:sub>
          </m:sSub>
          <m:r>
            <m:rPr>
              <m:sty m:val="p"/>
            </m:rPr>
            <m:t>,</m:t>
          </m:r>
          <m:r>
            <m:rPr>
              <m:sty m:val="b"/>
            </m:rPr>
            <m:t>K</m:t>
          </m:r>
          <m:r>
            <m:rPr>
              <m:sty m:val="p"/>
            </m:rPr>
            <m:t>)</m:t>
          </m:r>
          <m:r>
            <m:t>  </m:t>
          </m:r>
          <m:r>
            <m:rPr>
              <m:sty m:val="p"/>
            </m:rPr>
            <m:t>(</m:t>
          </m:r>
          <m:r>
            <m:t>13</m:t>
          </m:r>
          <m:r>
            <m:rPr>
              <m:sty m:val="p"/>
            </m:rPr>
            <m:t>)</m:t>
          </m:r>
        </m:oMath>
      </m:oMathPara>
    </w:p>
    <w:p>
      <w:pPr>
        <w:pStyle w:val="FirstParagraph"/>
      </w:pPr>
      <m:oMathPara>
        <m:oMathParaPr>
          <m:jc m:val="center"/>
        </m:oMathParaPr>
        <m:oMath>
          <m:sSub>
            <m:e>
              <m:r>
                <m:t>K</m:t>
              </m:r>
            </m:e>
            <m:sub>
              <m:r>
                <m:t>i</m:t>
              </m:r>
              <m:r>
                <m:rPr>
                  <m:sty m:val="p"/>
                </m:rPr>
                <m:t>,</m:t>
              </m:r>
              <m:r>
                <m:t>j</m:t>
              </m:r>
            </m:sub>
          </m:sSub>
          <m:r>
            <m:rPr>
              <m:sty m:val="p"/>
            </m:rPr>
            <m:t>=</m:t>
          </m:r>
          <m:sSup>
            <m:e>
              <m:r>
                <m:t>η</m:t>
              </m:r>
            </m:e>
            <m:sup>
              <m:r>
                <m:t>2</m:t>
              </m:r>
            </m:sup>
          </m:sSup>
          <m:r>
            <m:rPr>
              <m:sty m:val="p"/>
            </m:rPr>
            <m:t>exp</m:t>
          </m:r>
          <m:r>
            <m:t>​</m:t>
          </m:r>
          <m:d>
            <m:dPr>
              <m:begChr m:val="("/>
              <m:sepChr m:val=""/>
              <m:endChr m:val=")"/>
              <m:grow/>
            </m:dPr>
            <m:e>
              <m:r>
                <m:rPr>
                  <m:sty m:val="p"/>
                </m:rPr>
                <m:t>−</m:t>
              </m:r>
              <m:r>
                <m:t>0.5</m:t>
              </m:r>
              <m:r>
                <m:t> </m:t>
              </m:r>
              <m:sSup>
                <m:e>
                  <m:r>
                    <m:t>ρ</m:t>
                  </m:r>
                </m:e>
                <m:sup>
                  <m:r>
                    <m:t>2</m:t>
                  </m:r>
                </m:sup>
              </m:sSup>
              <m:r>
                <m:rPr>
                  <m:sty m:val="p"/>
                </m:rPr>
                <m:t>(</m:t>
              </m:r>
              <m:r>
                <m:t>j</m:t>
              </m:r>
              <m:r>
                <m:rPr>
                  <m:sty m:val="p"/>
                </m:rPr>
                <m:t>−</m:t>
              </m:r>
              <m:r>
                <m:t>i</m:t>
              </m:r>
              <m:sSup>
                <m:e>
                  <m:r>
                    <m:rPr>
                      <m:sty m:val="p"/>
                    </m:rPr>
                    <m:t>)</m:t>
                  </m:r>
                </m:e>
                <m:sup>
                  <m:r>
                    <m:t>2</m:t>
                  </m:r>
                </m:sup>
              </m:sSup>
            </m:e>
          </m:d>
          <m:r>
            <m:t>  </m:t>
          </m:r>
          <m:r>
            <m:rPr>
              <m:sty m:val="p"/>
            </m:rPr>
            <m:t>(</m:t>
          </m:r>
          <m:r>
            <m:t>14</m:t>
          </m:r>
          <m:r>
            <m:rPr>
              <m:sty m:val="p"/>
            </m:rPr>
            <m:t>)</m:t>
          </m:r>
        </m:oMath>
      </m:oMathPara>
    </w:p>
    <w:p>
      <w:pPr>
        <w:pStyle w:val="FirstParagraph"/>
      </w:pPr>
      <w:r>
        <w:t xml:space="preserve">where the response variable</w:t>
      </w:r>
      <w:r>
        <w:t xml:space="preserve"> </w:t>
      </w:r>
      <m:oMath>
        <m:sSub>
          <m:e>
            <m:r>
              <m:t>Y</m:t>
            </m:r>
          </m:e>
          <m:sub>
            <m:r>
              <m:t>t</m:t>
            </m:r>
          </m:sub>
        </m:sSub>
      </m:oMath>
      <w:r>
        <w:t xml:space="preserve"> </w:t>
      </w:r>
      <w:r>
        <w:t xml:space="preserve">is the number of seedlings in year</w:t>
      </w:r>
      <w:r>
        <w:t xml:space="preserve"> </w:t>
      </w:r>
      <m:oMath>
        <m:r>
          <m:t>t</m:t>
        </m:r>
      </m:oMath>
      <w:r>
        <w:t xml:space="preserve">, and</w:t>
      </w:r>
      <w:r>
        <w:t xml:space="preserve"> </w:t>
      </w:r>
      <m:oMath>
        <m:sSub>
          <m:e>
            <m:r>
              <m:t>N</m:t>
            </m:r>
          </m:e>
          <m:sub>
            <m:r>
              <m:t>t</m:t>
            </m:r>
            <m:r>
              <m:rPr>
                <m:sty m:val="p"/>
              </m:rPr>
              <m:t>−</m:t>
            </m:r>
            <m:r>
              <m:t>1</m:t>
            </m:r>
          </m:sub>
        </m:sSub>
      </m:oMath>
      <w:r>
        <w:t xml:space="preserve"> </w:t>
      </w:r>
      <w:r>
        <w:t xml:space="preserve">is the sample size of reproductive adults in year</w:t>
      </w:r>
      <w:r>
        <w:t xml:space="preserve"> </w:t>
      </w:r>
      <m:oMath>
        <m:r>
          <m:t>t</m:t>
        </m:r>
        <m:r>
          <m:rPr>
            <m:sty m:val="p"/>
          </m:rPr>
          <m:t>−</m:t>
        </m:r>
        <m:r>
          <m:t>1</m:t>
        </m:r>
      </m:oMath>
      <w:r>
        <w:t xml:space="preserve">. The model is otherwise similar to the point estimates model, except that we use year-specific intercepts (</w:t>
      </w:r>
      <m:oMath>
        <m:sSub>
          <m:e>
            <m:r>
              <m:t>α</m:t>
            </m:r>
          </m:e>
          <m:sub>
            <m:r>
              <m:t>t</m:t>
            </m:r>
          </m:sub>
        </m:sSub>
      </m:oMath>
      <w:r>
        <w:t xml:space="preserve">) to incorporate the Poisson offset (</w:t>
      </w:r>
      <m:oMath>
        <m:sSub>
          <m:e>
            <m:r>
              <m:t>N</m:t>
            </m:r>
          </m:e>
          <m:sub>
            <m:r>
              <m:t>t</m:t>
            </m:r>
            <m:r>
              <m:rPr>
                <m:sty m:val="p"/>
              </m:rPr>
              <m:t>−</m:t>
            </m:r>
            <m:r>
              <m:t>1</m:t>
            </m:r>
          </m:sub>
        </m:sSub>
      </m:oMath>
      <w:r>
        <w:t xml:space="preserve">), rather than a single model intercept as before. We fit the above-described models again, with priors and settings as described in Supplementary Methods section S1.4.</w:t>
      </w:r>
    </w:p>
    <w:p>
      <w:pPr>
        <w:pStyle w:val="BodyText"/>
      </w:pPr>
      <w:r>
        <w:t xml:space="preserve">For the stage-specific survival comparison shown in the climate figures, we derived annual stage-specific survival probabilities as column sums of</w:t>
      </w:r>
      <w:r>
        <w:t xml:space="preserve"> </w:t>
      </w:r>
      <m:oMath>
        <m:r>
          <m:t>U</m:t>
        </m:r>
      </m:oMath>
      <w:r>
        <w:t xml:space="preserve"> </w:t>
      </w:r>
      <w:r>
        <w:t xml:space="preserve">(survive and transition to any living stage). We then estimated temperature effects for each stage under two matched formulations on the logit scale: an SSD-weighted quasibinomial GLM for point estimates (</w:t>
      </w:r>
      <m:oMath>
        <m:r>
          <m:rPr>
            <m:nor/>
            <m:scr m:val="monospace"/>
            <m:sty m:val="p"/>
          </m:rPr>
          <m:t>surv</m:t>
        </m:r>
        <m:r>
          <m:rPr>
            <m:sty m:val="p"/>
          </m:rPr>
          <m:t>∼</m:t>
        </m:r>
        <m:r>
          <m:rPr>
            <m:nor/>
            <m:scr m:val="monospace"/>
            <m:sty m:val="p"/>
          </m:rPr>
          <m:t>tmp</m:t>
        </m:r>
      </m:oMath>
      <w:r>
        <w:t xml:space="preserve">, with weights from the stable stage distribution of each annual</w:t>
      </w:r>
      <w:r>
        <w:t xml:space="preserve"> </w:t>
      </w:r>
      <m:oMath>
        <m:r>
          <m:t>U</m:t>
        </m:r>
      </m:oMath>
      <w:r>
        <w:t xml:space="preserve"> </w:t>
      </w:r>
      <w:r>
        <w:t xml:space="preserve">matrix) and a binomial count model for uncertainty propagation (</w:t>
      </w:r>
      <m:oMath>
        <m:r>
          <m:rPr>
            <m:nor/>
            <m:scr m:val="monospace"/>
            <m:sty m:val="p"/>
          </m:rPr>
          <m:t>cbind</m:t>
        </m:r>
        <m:r>
          <m:rPr>
            <m:sty m:val="p"/>
          </m:rPr>
          <m:t>(</m:t>
        </m:r>
        <m:sSub>
          <m:e>
            <m:r>
              <m:t>n</m:t>
            </m:r>
          </m:e>
          <m:sub>
            <m:r>
              <m:rPr>
                <m:nor/>
                <m:sty m:val="p"/>
              </m:rPr>
              <m:t>surv</m:t>
            </m:r>
          </m:sub>
        </m:sSub>
        <m:r>
          <m:rPr>
            <m:sty m:val="p"/>
          </m:rPr>
          <m:t>,</m:t>
        </m:r>
        <m:sSub>
          <m:e>
            <m:r>
              <m:t>n</m:t>
            </m:r>
          </m:e>
          <m:sub>
            <m:r>
              <m:rPr>
                <m:nor/>
                <m:sty m:val="p"/>
              </m:rPr>
              <m:t>fail</m:t>
            </m:r>
          </m:sub>
        </m:sSub>
        <m:r>
          <m:rPr>
            <m:sty m:val="p"/>
          </m:rPr>
          <m:t>)</m:t>
        </m:r>
        <m:r>
          <m:rPr>
            <m:sty m:val="p"/>
          </m:rPr>
          <m:t>∼</m:t>
        </m:r>
        <m:r>
          <m:rPr>
            <m:nor/>
            <m:scr m:val="monospace"/>
            <m:sty m:val="p"/>
          </m:rPr>
          <m:t>tmp</m:t>
        </m:r>
      </m:oMath>
      <w:r>
        <w:t xml:space="preserve">). Full implementation details are provided in Supplementary Methods sections S1.6 and S1.10.</w:t>
      </w:r>
    </w:p>
    <w:bookmarkEnd w:id="29"/>
    <w:bookmarkStart w:id="30" w:name="Xbcefed090b6f5aec8f7c246135f8631e1a55520"/>
    <w:p>
      <w:pPr>
        <w:pStyle w:val="Heading3"/>
      </w:pPr>
      <w:r>
        <w:t xml:space="preserve">Analysis 3: Simulation study of climate effects on fecundity</w:t>
      </w:r>
    </w:p>
    <w:p>
      <w:pPr>
        <w:pStyle w:val="FirstParagraph"/>
      </w:pPr>
      <w:r>
        <w:t xml:space="preserve">To evaluate the effect of sampling uncertainty under known truth, we simulated annual recruitment time series from a realistic four-stage Lefkovitch MPM generated with</w:t>
      </w:r>
      <w:r>
        <w:t xml:space="preserve"> </w:t>
      </w:r>
      <w:r>
        <w:rPr>
          <w:rStyle w:val="VerbatimChar"/>
        </w:rPr>
        <w:t xml:space="preserve">mpmsim::rand_lefko_mpm()</w:t>
      </w:r>
      <w:r>
        <w:t xml:space="preserve"> </w:t>
      </w:r>
      <w:r>
        <w:t xml:space="preserve">(archetype 2) and retained a baseline matrix with population growth rate close to equilibrium (</w:t>
      </w:r>
      <m:oMath>
        <m:r>
          <m:t>λ</m:t>
        </m:r>
        <m:r>
          <m:rPr>
            <m:sty m:val="p"/>
          </m:rPr>
          <m:t>≈</m:t>
        </m:r>
        <m:r>
          <m:t>1</m:t>
        </m:r>
      </m:oMath>
      <w:r>
        <w:t xml:space="preserve">). We then imposed a climate effect on a single fecundity entry,</w:t>
      </w:r>
      <w:r>
        <w:t xml:space="preserve"> </w:t>
      </w:r>
      <m:oMath>
        <m:sSub>
          <m:e>
            <m:r>
              <m:t>F</m:t>
            </m:r>
          </m:e>
          <m:sub>
            <m:r>
              <m:t>1</m:t>
            </m:r>
            <m:r>
              <m:rPr>
                <m:sty m:val="p"/>
              </m:rPr>
              <m:t>,</m:t>
            </m:r>
            <m:r>
              <m:t>4</m:t>
            </m:r>
          </m:sub>
        </m:sSub>
      </m:oMath>
      <w:r>
        <w:t xml:space="preserve">, over</w:t>
      </w:r>
      <w:r>
        <w:t xml:space="preserve"> </w:t>
      </w:r>
      <m:oMath>
        <m:r>
          <m:t>T</m:t>
        </m:r>
        <m:r>
          <m:rPr>
            <m:sty m:val="p"/>
          </m:rPr>
          <m:t>=</m:t>
        </m:r>
        <m:r>
          <m:t>15</m:t>
        </m:r>
      </m:oMath>
      <w:r>
        <w:t xml:space="preserve"> </w:t>
      </w:r>
      <w:r>
        <w:t xml:space="preserve">annual time steps. In each simulated year, the climate covariate was drawn as</w:t>
      </w:r>
      <w:r>
        <w:t xml:space="preserve"> </w:t>
      </w:r>
      <m:oMath>
        <m:sSub>
          <m:e>
            <m:r>
              <m:t>x</m:t>
            </m:r>
          </m:e>
          <m:sub>
            <m:r>
              <m:t>t</m:t>
            </m:r>
          </m:sub>
        </m:sSub>
        <m:r>
          <m:rPr>
            <m:sty m:val="p"/>
          </m:rPr>
          <m:t>∼</m:t>
        </m:r>
        <m:r>
          <m:rPr>
            <m:nor/>
            <m:sty m:val="p"/>
          </m:rPr>
          <m:t>Normal</m:t>
        </m:r>
        <m:r>
          <m:rPr>
            <m:sty m:val="p"/>
          </m:rPr>
          <m:t>(</m:t>
        </m:r>
        <m:r>
          <m:t>0</m:t>
        </m:r>
        <m:r>
          <m:rPr>
            <m:sty m:val="p"/>
          </m:rPr>
          <m:t>,</m:t>
        </m:r>
        <m:r>
          <m:t>1</m:t>
        </m:r>
        <m:r>
          <m:rPr>
            <m:sty m:val="p"/>
          </m:rPr>
          <m:t>)</m:t>
        </m:r>
      </m:oMath>
      <w:r>
        <w:t xml:space="preserve">, and true fecundity followed</w:t>
      </w:r>
    </w:p>
    <w:p>
      <w:pPr>
        <w:pStyle w:val="BodyText"/>
      </w:pPr>
      <m:oMathPara>
        <m:oMathParaPr>
          <m:jc m:val="center"/>
        </m:oMathParaPr>
        <m:oMath>
          <m:r>
            <m:rPr>
              <m:sty m:val="p"/>
            </m:rPr>
            <m:t>log</m:t>
          </m:r>
          <m:r>
            <m:rPr>
              <m:sty m:val="p"/>
            </m:rPr>
            <m:t>(</m:t>
          </m:r>
          <m:sSub>
            <m:e>
              <m:r>
                <m:t>F</m:t>
              </m:r>
            </m:e>
            <m:sub>
              <m:r>
                <m:t>1</m:t>
              </m:r>
              <m:r>
                <m:rPr>
                  <m:sty m:val="p"/>
                </m:rPr>
                <m:t>,</m:t>
              </m:r>
              <m:r>
                <m:t>4</m:t>
              </m:r>
              <m:r>
                <m:rPr>
                  <m:sty m:val="p"/>
                </m:rPr>
                <m:t>,</m:t>
              </m:r>
              <m:r>
                <m:t>t</m:t>
              </m:r>
            </m:sub>
          </m:sSub>
          <m:r>
            <m:rPr>
              <m:sty m:val="p"/>
            </m:rPr>
            <m:t>)</m:t>
          </m:r>
          <m:r>
            <m:rPr>
              <m:sty m:val="p"/>
            </m:rPr>
            <m:t>=</m:t>
          </m:r>
          <m:r>
            <m:rPr>
              <m:sty m:val="p"/>
            </m:rPr>
            <m:t>log</m:t>
          </m:r>
          <m:r>
            <m:rPr>
              <m:sty m:val="p"/>
            </m:rPr>
            <m:t>(</m:t>
          </m:r>
          <m:sSub>
            <m:e>
              <m:r>
                <m:t>F</m:t>
              </m:r>
            </m:e>
            <m:sub>
              <m:r>
                <m:t>1</m:t>
              </m:r>
              <m:r>
                <m:rPr>
                  <m:sty m:val="p"/>
                </m:rPr>
                <m:t>,</m:t>
              </m:r>
              <m:r>
                <m:t>4</m:t>
              </m:r>
            </m:sub>
          </m:sSub>
          <m:r>
            <m:rPr>
              <m:sty m:val="p"/>
            </m:rPr>
            <m:t>)</m:t>
          </m:r>
          <m:r>
            <m:rPr>
              <m:sty m:val="p"/>
            </m:rPr>
            <m:t>+</m:t>
          </m:r>
          <m:sSub>
            <m:e>
              <m:r>
                <m:t>β</m:t>
              </m:r>
            </m:e>
            <m:sub>
              <m:r>
                <m:rPr>
                  <m:nor/>
                  <m:sty m:val="p"/>
                </m:rPr>
                <m:t>true</m:t>
              </m:r>
            </m:sub>
          </m:sSub>
          <m:sSub>
            <m:e>
              <m:r>
                <m:t>x</m:t>
              </m:r>
            </m:e>
            <m:sub>
              <m:r>
                <m:t>t</m:t>
              </m:r>
            </m:sub>
          </m:sSub>
          <m:r>
            <m:rPr>
              <m:sty m:val="p"/>
            </m:rPr>
            <m:t>+</m:t>
          </m:r>
          <m:sSub>
            <m:e>
              <m:r>
                <m:t>z</m:t>
              </m:r>
            </m:e>
            <m:sub>
              <m:r>
                <m:t>t</m:t>
              </m:r>
            </m:sub>
          </m:sSub>
          <m:r>
            <m:rPr>
              <m:sty m:val="p"/>
            </m:rPr>
            <m:t>,</m:t>
          </m:r>
          <m:r>
            <m:t>  </m:t>
          </m:r>
          <m:r>
            <m:rPr>
              <m:sty m:val="p"/>
            </m:rPr>
            <m:t>(</m:t>
          </m:r>
          <m:r>
            <m:t>15</m:t>
          </m:r>
          <m:r>
            <m:rPr>
              <m:sty m:val="p"/>
            </m:rPr>
            <m:t>)</m:t>
          </m:r>
        </m:oMath>
      </m:oMathPara>
    </w:p>
    <w:p>
      <w:pPr>
        <w:pStyle w:val="FirstParagraph"/>
      </w:pPr>
      <w:r>
        <w:t xml:space="preserve">where</w:t>
      </w:r>
      <w:r>
        <w:t xml:space="preserve"> </w:t>
      </w:r>
      <m:oMath>
        <m:sSub>
          <m:e>
            <m:r>
              <m:t>β</m:t>
            </m:r>
          </m:e>
          <m:sub>
            <m:r>
              <m:rPr>
                <m:nor/>
                <m:sty m:val="p"/>
              </m:rPr>
              <m:t>true</m:t>
            </m:r>
          </m:sub>
        </m:sSub>
      </m:oMath>
      <w:r>
        <w:t xml:space="preserve"> </w:t>
      </w:r>
      <w:r>
        <w:t xml:space="preserve">was set to 0.1, 0.3, or 0.5, and</w:t>
      </w:r>
      <w:r>
        <w:t xml:space="preserve"> </w:t>
      </w:r>
      <m:oMath>
        <m:sSub>
          <m:e>
            <m:r>
              <m:t>z</m:t>
            </m:r>
          </m:e>
          <m:sub>
            <m:r>
              <m:t>t</m:t>
            </m:r>
          </m:sub>
        </m:sSub>
        <m:r>
          <m:rPr>
            <m:sty m:val="p"/>
          </m:rPr>
          <m:t>∼</m:t>
        </m:r>
        <m:r>
          <m:rPr>
            <m:nor/>
            <m:sty m:val="p"/>
          </m:rPr>
          <m:t>Normal</m:t>
        </m:r>
        <m:r>
          <m:rPr>
            <m:sty m:val="p"/>
          </m:rPr>
          <m:t>(</m:t>
        </m:r>
        <m:r>
          <m:t>0</m:t>
        </m:r>
        <m:r>
          <m:rPr>
            <m:sty m:val="p"/>
          </m:rPr>
          <m:t>,</m:t>
        </m:r>
        <m:sSup>
          <m:e>
            <m:r>
              <m:t>0.2</m:t>
            </m:r>
          </m:e>
          <m:sup>
            <m:r>
              <m:t>2</m:t>
            </m:r>
          </m:sup>
        </m:sSup>
        <m:r>
          <m:rPr>
            <m:sty m:val="p"/>
          </m:rPr>
          <m:t>)</m:t>
        </m:r>
      </m:oMath>
      <w:r>
        <w:t xml:space="preserve"> </w:t>
      </w:r>
      <w:r>
        <w:t xml:space="preserve">represented additional year-to-year biological variation not explained by climate. For each year we then simulated observed seedling counts from finite samples of reproductive individuals, using stage sample sizes of 10, 20, 50, or 100 per year. We analysed 200 replicate time series for each effect-size and sample-size combination.</w:t>
      </w:r>
    </w:p>
    <w:p>
      <w:pPr>
        <w:pStyle w:val="BodyText"/>
      </w:pPr>
      <w:r>
        <w:t xml:space="preserve">For each simulated dataset, we fit three models to estimate the climate effect on recruitment: (i) a Gaussian regression on annual point estimates of fecundity, (ii) a Poisson count model using observed seedling counts and an offset for the number of reproductive individuals, and (iii) a Poisson uncertainty-aware model that additionally included a latent year-specific process term analogous to</w:t>
      </w:r>
      <w:r>
        <w:t xml:space="preserve"> </w:t>
      </w:r>
      <m:oMath>
        <m:sSub>
          <m:e>
            <m:r>
              <m:t>z</m:t>
            </m:r>
          </m:e>
          <m:sub>
            <m:r>
              <m:t>t</m:t>
            </m:r>
          </m:sub>
        </m:sSub>
      </m:oMath>
      <w:r>
        <w:t xml:space="preserve">. We then compared the models in terms of bias and 95% interval coverage. This design isolates the effect of uncertainty propagation because the true climate effect is known, while still mimicking the sampling structure of finite field data. A supplementary multisite robustness analysis applying the analysis 2 framework to three</w:t>
      </w:r>
      <w:r>
        <w:t xml:space="preserve"> </w:t>
      </w:r>
      <w:r>
        <w:rPr>
          <w:i/>
          <w:iCs/>
        </w:rPr>
        <w:t xml:space="preserve">Astragalus scaphoides</w:t>
      </w:r>
      <w:r>
        <w:t xml:space="preserve"> </w:t>
      </w:r>
      <w:r>
        <w:t xml:space="preserve">populations is reported in Supplementary Methods section S1.10 and Supplementary Results section S2.5.</w:t>
      </w:r>
    </w:p>
    <w:p>
      <w:pPr>
        <w:pStyle w:val="BodyText"/>
      </w:pPr>
      <w:r>
        <w:t xml:space="preserve">All analyses were run in R (4.6.1) using RStan (2.32.7), with data handling and plotting in tidyverse packages.</w:t>
      </w:r>
    </w:p>
    <w:bookmarkEnd w:id="30"/>
    <w:bookmarkEnd w:id="31"/>
    <w:bookmarkEnd w:id="32"/>
    <w:bookmarkStart w:id="36" w:name="results"/>
    <w:p>
      <w:pPr>
        <w:pStyle w:val="Heading1"/>
      </w:pPr>
      <w:r>
        <w:t xml:space="preserve">Results</w:t>
      </w:r>
    </w:p>
    <w:bookmarkStart w:id="33" w:name="Xdd6638ed7316a87858b3445bbb79e25a6ceb092"/>
    <w:p>
      <w:pPr>
        <w:pStyle w:val="Heading2"/>
      </w:pPr>
      <w:r>
        <w:t xml:space="preserve">Analysis 1: Comparative analysis of mortality trajectories</w:t>
      </w:r>
    </w:p>
    <w:p>
      <w:pPr>
        <w:pStyle w:val="FirstParagraph"/>
      </w:pPr>
      <w:r>
        <w:t xml:space="preserve">We first summarise the overall contribution of sampling uncertainty to observed trait variation using variance-component ratios (Table</w:t>
      </w:r>
      <w:r>
        <w:t xml:space="preserve"> </w:t>
      </w:r>
      <w:r>
        <w:t xml:space="preserve">1</w:t>
      </w:r>
      <w:r>
        <w:t xml:space="preserve">), then ask whether this variation is large enough to alter inference in a specific comparative analysis.</w:t>
      </w:r>
    </w:p>
    <w:p>
      <w:pPr>
        <w:pStyle w:val="BodyText"/>
      </w:pPr>
      <w:r>
        <w:t xml:space="preserve">For our parameters of interest, life expectancy and shape, the estimated sampling-to-other variance ratios across population-level MPM entries in analysis 1 were 1.93 and 3.31, respectively (Table</w:t>
      </w:r>
      <w:r>
        <w:t xml:space="preserve"> </w:t>
      </w:r>
      <w:r>
        <w:t xml:space="preserve">1</w:t>
      </w:r>
      <w:r>
        <w:t xml:space="preserve">). Thus, part of the apparent among-population variation in mortality trajectories in comparative senescence analyses may reflect sampling noise and temporal variation, not only true underlying biological differences. Point estimates of life expectancy and shape often deviated from their respective sampling distributions (Fig.</w:t>
      </w:r>
      <w:r>
        <w:t xml:space="preserve"> </w:t>
      </w:r>
      <w:r>
        <w:t xml:space="preserve">3</w:t>
      </w:r>
      <w:r>
        <w:t xml:space="preserve">).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pPr>
        <w:pStyle w:val="BodyText"/>
      </w:pPr>
      <w:r>
        <w:t xml:space="preserve">Despite the mismatch between point estimates and sampling distributions, accounting for sampling uncertainty in our test of the relationship between life expectancy and shape only moderately affected the overall result (Fig.</w:t>
      </w:r>
      <w:r>
        <w:t xml:space="preserve"> </w:t>
      </w:r>
      <w:r>
        <w:t xml:space="preserve">4</w:t>
      </w:r>
      <w:r>
        <w:t xml:space="preserve">). For the slope parameter β, the posterior distribution from the point-estimate model was centred slightly to the left of zero (P[β &gt; 0] = 0.146), whereas the corresponding posterior from the sampling-uncertainty model was shifted somewhat to the right (P[β &gt; 0] = 0.770), indicating stronger evidence for a positive relationship between life expectancy and shape.</w:t>
      </w:r>
    </w:p>
    <w:p>
      <w:pPr>
        <w:pStyle w:val="BodyText"/>
      </w:pPr>
      <w:r>
        <w:t xml:space="preserve">Counterintuitively, there was less posterior uncertainty in β in the sampling-uncertainty model than in the point-estimate model. To see why, consider that a regression slope is harder to estimate precisely when the data are very spread out, because many different slopes could fit the data reasonably well. The point estimates of shape are artificially spread out because boundary-survival estimates drive some of them to extreme values. When those extreme point estimates are replaced by their sampling distributions, which, as Figure</w:t>
      </w:r>
      <w:r>
        <w:t xml:space="preserve"> </w:t>
      </w:r>
      <w:r>
        <w:t xml:space="preserve">4</w:t>
      </w:r>
      <w:r>
        <w:t xml:space="preserve">A shows, tend to cluster much closer to zero, the data are effectively less dispersed, and the slope becomes easier to pin down.</w:t>
      </w:r>
    </w:p>
    <w:bookmarkEnd w:id="33"/>
    <w:bookmarkStart w:id="34" w:name="Xa844334e68bdd149df766f2d8c8c13e59d9ac1f"/>
    <w:p>
      <w:pPr>
        <w:pStyle w:val="Heading2"/>
      </w:pPr>
      <w:r>
        <w:t xml:space="preserve">Analysis 2: The impact of weather on demographic traits</w:t>
      </w:r>
    </w:p>
    <w:p>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w:t>
      </w:r>
      <w:r>
        <w:t xml:space="preserve"> </w:t>
      </w:r>
      <w:r>
        <w:t xml:space="preserve">5</w:t>
      </w:r>
      <w:r>
        <w:t xml:space="preserve">).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w:t>
      </w:r>
      <w:r>
        <w:t xml:space="preserve"> </w:t>
      </w:r>
      <w:r>
        <w:t xml:space="preserve">5</w:t>
      </w:r>
      <w:r>
        <w:t xml:space="preserve">). The estimate of the temperature coefficient</w:t>
      </w:r>
      <w:r>
        <w:t xml:space="preserve"> </w:t>
      </w:r>
      <m:oMath>
        <m:r>
          <m:t>β</m:t>
        </m:r>
      </m:oMath>
      <w:r>
        <w:t xml:space="preserve"> </w:t>
      </w:r>
      <w:r>
        <w:t xml:space="preserve">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w:t>
      </w:r>
      <w:r>
        <w:t xml:space="preserve"> </w:t>
      </w:r>
      <w:r>
        <w:t xml:space="preserve">5</w:t>
      </w:r>
      <w:r>
        <w:t xml:space="preserve">C), temperature coefficients were estimable for stages 2 and 3; for stage 1 we show a descriptive open-circle marker at mean survival across years, and for stage 4 (all years at 100% survival) we show a descriptive open-circle marker at survival = 1, both without interval bars. This is analogous to the pattern in Figure</w:t>
      </w:r>
      <w:r>
        <w:t xml:space="preserve"> </w:t>
      </w:r>
      <w:r>
        <w:t xml:space="preserve">4</w:t>
      </w:r>
      <w:r>
        <w:t xml:space="preserve">: once sampling variation in the annual survival estimates is modelled explicitly, part of the apparent between-year spread is reallocated from biological signal to measurement noise, which can yield more precise coefficient estimates.</w:t>
      </w:r>
    </w:p>
    <w:bookmarkEnd w:id="34"/>
    <w:bookmarkStart w:id="35" w:name="X833b9bf9308421cbeeaa896dbc36efa1f10b09d"/>
    <w:p>
      <w:pPr>
        <w:pStyle w:val="Heading2"/>
      </w:pPr>
      <w:r>
        <w:t xml:space="preserve">Analysis 3: Simulation study of climate effects on fecundity</w:t>
      </w:r>
    </w:p>
    <w:p>
      <w:pPr>
        <w:pStyle w:val="FirstParagraph"/>
      </w:pPr>
      <w:r>
        <w:t xml:space="preserve">The simulation study showed that accounting for sampling uncertainty improved interval calibration without materially increasing average estimation error (Fig.</w:t>
      </w:r>
      <w:r>
        <w:t xml:space="preserve"> </w:t>
      </w:r>
      <w:r>
        <w:t xml:space="preserve">6</w:t>
      </w:r>
      <w:r>
        <w:t xml:space="preserve">). Across the full factorial design, the uncertainty-aware Poisson model achieved near-nominal 95% interval coverage (0.951), whereas the simpler Poisson point-estimate model undercovered substantially (0.757). The two Poisson formulations had very similar overall RMSE (0.086 versus 0.087), indicating that the main benefit of explicit uncertainty propagation was improved interval calibration rather than reduced average error.</w:t>
      </w:r>
    </w:p>
    <w:p>
      <w:pPr>
        <w:pStyle w:val="BodyText"/>
      </w:pPr>
      <w:r>
        <w:t xml:space="preserve">The undercoverage of the Poisson point-estimate model became more severe as sample size increased. Averaged across true effect sizes, its coverage declined from 0.897 at sample size 10 to 0.593 at sample size 100, whereas the uncertainty-aware model remained stable over the same range (0.955 to 0.952; Fig.</w:t>
      </w:r>
      <w:r>
        <w:t xml:space="preserve"> </w:t>
      </w:r>
      <w:r>
        <w:t xml:space="preserve">6</w:t>
      </w:r>
      <w:r>
        <w:t xml:space="preserve">). This occurs because the point-estimate model treats increasing sample size as if it eliminated most uncertainty, even though the simulated truth still includes year-to-year biological variation not explained by climate. As a result, its intervals become too narrow.</w:t>
      </w:r>
    </w:p>
    <w:p>
      <w:pPr>
        <w:pStyle w:val="BodyText"/>
      </w:pPr>
      <w:r>
        <w:t xml:space="preserve">Bias patterns also differed among models. The Gaussian point-estimate model showed increasing positive bias as the true effect size increased, with mean bias reaching 0.066 when</w:t>
      </w:r>
      <w:r>
        <w:t xml:space="preserve"> </w:t>
      </w:r>
      <m:oMath>
        <m:sSub>
          <m:e>
            <m:r>
              <m:t>β</m:t>
            </m:r>
          </m:e>
          <m:sub>
            <m:r>
              <m:rPr>
                <m:nor/>
                <m:sty m:val="p"/>
              </m:rPr>
              <m:t>true</m:t>
            </m:r>
          </m:sub>
        </m:sSub>
        <m:r>
          <m:rPr>
            <m:sty m:val="p"/>
          </m:rPr>
          <m:t>=</m:t>
        </m:r>
        <m:r>
          <m:t>0.5</m:t>
        </m:r>
      </m:oMath>
      <w:r>
        <w:t xml:space="preserve">, whereas both Poisson models remained close to unbiased throughout the design (Fig.</w:t>
      </w:r>
      <w:r>
        <w:t xml:space="preserve"> </w:t>
      </w:r>
      <w:r>
        <w:t xml:space="preserve">6</w:t>
      </w:r>
      <w:r>
        <w:t xml:space="preserve">). The uncertainty-aware model therefore combines the low bias of the count-based formulation with interval coverage close to the nominal 95% level. A supplementary multisite robustness analysis based on three</w:t>
      </w:r>
      <w:r>
        <w:t xml:space="preserve"> </w:t>
      </w:r>
      <w:r>
        <w:rPr>
          <w:i/>
          <w:iCs/>
        </w:rPr>
        <w:t xml:space="preserve">Astragalus scaphoides</w:t>
      </w:r>
      <w:r>
        <w:t xml:space="preserve"> </w:t>
      </w:r>
      <w:r>
        <w:t xml:space="preserve">populations showed the same qualitative conclusion as analysis 2: climate-effect inference was similar with and without explicit uncertainty propagation in that empirical setting (Supplementary Results section S2.5; Figure S5; Tables S7-S10).</w:t>
      </w:r>
    </w:p>
    <w:bookmarkEnd w:id="35"/>
    <w:bookmarkEnd w:id="36"/>
    <w:bookmarkStart w:id="43" w:name="discussion"/>
    <w:p>
      <w:pPr>
        <w:pStyle w:val="Heading1"/>
      </w:pPr>
      <w:r>
        <w:t xml:space="preserve">Discussion</w:t>
      </w:r>
    </w:p>
    <w:bookmarkStart w:id="37" w:name="Xc4e9ecdc28d90ee6ac1ec849a27dcbf36aba354"/>
    <w:p>
      <w:pPr>
        <w:pStyle w:val="Heading2"/>
      </w:pPr>
      <w:r>
        <w:t xml:space="preserve">When does transition-rate sampling uncertainty materially affect inference from published MPMs?</w:t>
      </w:r>
    </w:p>
    <w:p>
      <w:pPr>
        <w:pStyle w:val="FirstParagraph"/>
      </w:pPr>
      <w:r>
        <w:t xml:space="preserve">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The simulation analysis clarifies that this apparent robustness does not imply that point-estimate count models are generally well calibrated: when unmodelled year-to-year biological variation is present, they can remain nearly unbiased yet still become overconfident.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together with the simulation result, therefore reflects both the type of trait analysed and the type of transition underlying it.</w:t>
      </w:r>
    </w:p>
    <w:p>
      <w:pPr>
        <w:pStyle w:val="BodyText"/>
      </w:pPr>
      <w:r>
        <w:t xml:space="preserve">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pPr>
        <w:pStyle w:val="BodyText"/>
      </w:pPr>
      <w:r>
        <w:t xml:space="preserve">For several commonly used integrated demographic metrics, such as population growth rate (λ), generation time, and individual growth rate, sampling uncertainty accounted for only a small fraction of the total variation observed among populations. By contrast, traits related to mortality trajectories, particularly the shape of the mortality distribution, were far more sensitive: nearly half of the total variation in shape was attributable to sampling uncertainty. In these cases, much of the apparent variation among published MPMs is not distinguishable from statistical noise. This result helps explain why incorporating sampling uncertainty shifted inference in the senescence analysis but had little effect in the climate-recruitment analysis, where the response variable was more directly linked to observed counts and less dependent on long-term survivorship.</w:t>
      </w:r>
    </w:p>
    <w:bookmarkEnd w:id="37"/>
    <w:bookmarkStart w:id="38" w:name="Xcc44e14f294f4d2981b95417a1e5cf8a03da4dc"/>
    <w:p>
      <w:pPr>
        <w:pStyle w:val="Heading2"/>
      </w:pPr>
      <w:r>
        <w:t xml:space="preserve">Why are some MPM-derived traits particularly sensitive to sampling uncertainty, and what are the practical implications?</w:t>
      </w:r>
    </w:p>
    <w:p>
      <w:pPr>
        <w:pStyle w:val="FirstParagraph"/>
      </w:pPr>
      <w:r>
        <w:t xml:space="preserve">The sensitivity of mortality-trajectory traits has a single underlying cause: life expectancy and shape are inferred via age-from-stage methods, which project a cohort forward through repeated matrix multiplication. Errors in late-stage survival are therefore not simply carried forward but compounded across projection steps, amplifying small transition-rate uncertainties into large uncertainties in long-term survivorship. Integrated metrics like population growth rate are insulated from this because they reflect a weighted average over all transitions simultaneously, where errors tend to partially cancel.</w:t>
      </w:r>
    </w:p>
    <w:p>
      <w:pPr>
        <w:pStyle w:val="BodyText"/>
      </w:pPr>
      <w:r>
        <w:t xml:space="preserve">Several structural features of published matrices exacerbate this. In our analysis 1 set (</w:t>
      </w:r>
      <m:oMath>
        <m:r>
          <m:t>n</m:t>
        </m:r>
        <m:r>
          <m:rPr>
            <m:sty m:val="p"/>
          </m:rPr>
          <m:t>=</m:t>
        </m:r>
        <m:r>
          <m:t>68</m:t>
        </m:r>
      </m:oMath>
      <w:r>
        <w:t xml:space="preserve"> </w:t>
      </w:r>
      <w:r>
        <w:t xml:space="preserve">population-level matrices), 47% (32/68) contain only a single reproductive stage class, 69% (47/68) reach their quasi-stable distribution in less than one life expectancy, and 46% (31/68) contain at least one stage-specific survival estimate of exactly 100%. These are not rare edge cases; they are routine features of published matrices that systematically displace derived trait estimates from the centre of their sampling distributions.</w:t>
      </w:r>
    </w:p>
    <w:p>
      <w:pPr>
        <w:pStyle w:val="BodyText"/>
      </w:pPr>
      <w:r>
        <w:t xml:space="preserve">This mechanism is also evident quantitatively within the analysis 1 dataset: displacement magnitude increases with both the number of boundary survival stages and the proportion of sampled individuals occupying those stages (Supplementary Methods section S1.12; Table S13; Figure S3), linking the largest point-estimate mismatches directly to the structure of the underlying survival estimates.</w:t>
      </w:r>
    </w:p>
    <w:bookmarkEnd w:id="38"/>
    <w:bookmarkStart w:id="39" w:name="X0adf71d4d7a20b69e30fb81dd3c4bc398b81df0"/>
    <w:p>
      <w:pPr>
        <w:pStyle w:val="Heading2"/>
      </w:pPr>
      <w:r>
        <w:t xml:space="preserve">Practical implications for users of compiled demographic databases</w:t>
      </w:r>
    </w:p>
    <w:p>
      <w:pPr>
        <w:pStyle w:val="FirstParagraph"/>
      </w:pPr>
      <w:r>
        <w:t xml:space="preserve">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p>
    <w:p>
      <w:pPr>
        <w:pStyle w:val="BodyText"/>
      </w:pPr>
      <w:r>
        <w:t xml:space="preserve">Generalisability is also conditioned by taxonomic representation. Relative to the full current COMPADRE plant database, our final 31-study subset is enriched for herbaceous perennials (64.5% of studies in our subset versus 49.1% in COMPADRE overall) and succulents (16.1% versus 7.8%), while trees (6.5% versus 15.4%) and shrubs (3.2% versus 9.0%) are under-represented; annuals and several less common plant life forms are absent entirely. Our conclusions should therefore be interpreted most directly for perennial herb and succulent systems, and more cautiously for woody or otherwise under-represented life forms.</w:t>
      </w:r>
    </w:p>
    <w:p>
      <w:pPr>
        <w:pStyle w:val="BodyText"/>
      </w:pPr>
      <w:r>
        <w:t xml:space="preserve">Within the analysed subset, the warning signs most relevant to uncertainty propagation were also unevenly distributed. Boundary survival estimates and very small stage counts were concentrated mainly in herbaceous perennial systems and in larger matrices: among 6+-stage population-level entries, 61.1% contained at least one boundary survival estimate and 44.4% had at least one stage with</w:t>
      </w:r>
      <w:r>
        <w:t xml:space="preserve"> </w:t>
      </w:r>
      <m:oMath>
        <m:r>
          <m:t>N</m:t>
        </m:r>
        <m:r>
          <m:rPr>
            <m:sty m:val="p"/>
          </m:rPr>
          <m:t>&lt;</m:t>
        </m:r>
        <m:r>
          <m:t>20</m:t>
        </m:r>
      </m:oMath>
      <w:r>
        <w:t xml:space="preserve">, compared with 36.0% and 26.0%, respectively, for 3-5-stage entries (Table S12). This pattern is consistent with the practical intuition that more weakly observed stage classes create more opportunities for boundary estimates, although woody life forms remain too sparse in our final subset for a strong life-form-specific comparison (Supplementary Methods section S1.11).</w:t>
      </w:r>
    </w:p>
    <w:p>
      <w:pPr>
        <w:pStyle w:val="BodyText"/>
      </w:pPr>
      <w:r>
        <w:t xml:space="preserve">Analyses warrant caution when: any stage has survival &gt;0.95 or &lt;0.05, or is estimated from fewer than 20 individuals; the matrix has only a single reproductive stage class; or the time to quasi-stable distribution is less than one life expectancy. Conversely, analyses are likely robust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bookmarkEnd w:id="39"/>
    <w:bookmarkStart w:id="40" w:name="X5fdc7baf4020c1b023796c87a5028343841c135"/>
    <w:p>
      <w:pPr>
        <w:pStyle w:val="Heading2"/>
      </w:pPr>
      <w:r>
        <w:t xml:space="preserve">Sampling uncertainty versus demographic stochasticity</w:t>
      </w:r>
    </w:p>
    <w:p>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Distinguishing between these sources of uncertainty is therefore essential for appropriate interpretation.</w:t>
      </w:r>
    </w:p>
    <w:bookmarkEnd w:id="40"/>
    <w:bookmarkStart w:id="41" w:name="X3d7c66beb63a3fc1b0330934550b7cb901681b0"/>
    <w:p>
      <w:pPr>
        <w:pStyle w:val="Heading2"/>
      </w:pPr>
      <w:r>
        <w:t xml:space="preserve">Data limitations and reporting considerations</w:t>
      </w:r>
    </w:p>
    <w:p>
      <w:pPr>
        <w:pStyle w:val="FirstParagraph"/>
      </w:pPr>
      <w:r>
        <w:t xml:space="preserve">Incorporating transition-rate sampling uncertainty into analyses of published MPMs remains challenging, primarily because the data required to reconstruct sampling distributions are rarely reported. Under the current reproducible COMPADRE-based screen, 23 of 92 post-2010 target studies were retained, with most exclusions reflecting insufficient reporting of transition-specific sample sizes and a smaller number reflecting incompatible estimation approaches.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bookmarkEnd w:id="41"/>
    <w:bookmarkStart w:id="42" w:name="conclusions"/>
    <w:p>
      <w:pPr>
        <w:pStyle w:val="Heading2"/>
      </w:pPr>
      <w:r>
        <w:t xml:space="preserve">Conclusions</w:t>
      </w:r>
    </w:p>
    <w:p>
      <w:pPr>
        <w:pStyle w:val="FirstParagraph"/>
      </w:pPr>
      <w:r>
        <w:t xml:space="preserve">Our analyses show that the consequences of transition-rate sampling uncertainty in published matrix population models are highly trait-dependent. For many commonly used integrated demographic metrics, such as population growth rate and generation time, sampling uncertainty accounted for only a small fraction of total variation, suggesting that inference from published MPMs is often robust for these traits. By contrast, parameters related to mortality trajectories, including life expectancy and, especially, the shape of the mortality distribution, were substantially more sensitive to sampling uncertainty. In these cases, a large proportion of apparent variation among published matrices is indistinguishable from statistical noise, and point estimates can be systematically biased by boundary estimates of stage-specific survival.</w:t>
      </w:r>
    </w:p>
    <w:p>
      <w:pPr>
        <w:pStyle w:val="BodyText"/>
      </w:pPr>
      <w:r>
        <w:t xml:space="preserve">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pPr>
        <w:pStyle w:val="BodyText"/>
      </w:pPr>
      <w:r>
        <w:t xml:space="preserve">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bookmarkEnd w:id="42"/>
    <w:bookmarkEnd w:id="43"/>
    <w:bookmarkStart w:id="44" w:name="acknowledgements"/>
    <w:p>
      <w:pPr>
        <w:pStyle w:val="Heading1"/>
      </w:pPr>
      <w:r>
        <w:t xml:space="preserve">Acknowledgements</w:t>
      </w:r>
    </w:p>
    <w:p>
      <w:pPr>
        <w:pStyle w:val="FirstParagraph"/>
      </w:pPr>
      <w:r>
        <w:t xml:space="preserve">We are indebted to the COMPADRE data digitisation team and management committee for their work in developing the COMPADRE Plant Matrix Database. We thank the original study authors who shared additional sample-size information and supporting materials, which enabled the inclusion of those matrices in our analyses. We are especially grateful to Patrick Barks for substantial preparatory work and early analytical contributions to this project. This work was supported by a grant from the Independent Research Fund Denmark (grant 6108-00467B).</w:t>
      </w:r>
    </w:p>
    <w:bookmarkEnd w:id="44"/>
    <w:bookmarkStart w:id="45" w:name="author-contributions"/>
    <w:p>
      <w:pPr>
        <w:pStyle w:val="Heading1"/>
      </w:pPr>
      <w:r>
        <w:t xml:space="preserve">Author contributions</w:t>
      </w:r>
    </w:p>
    <w:p>
      <w:pPr>
        <w:pStyle w:val="FirstParagraph"/>
      </w:pPr>
      <w:r>
        <w:t xml:space="preserve">ORJ conceived and designed the study, curated data from the COMPADRE database and data provided by authors of papers selected for the analyses, conducted the analysis, and wrote the first draft of the manuscript. EGS contributed to conceptualization and interpretation of results, and reviewed and edited the manuscript. Both authors approved the final version for submission.</w:t>
      </w:r>
    </w:p>
    <w:bookmarkEnd w:id="45"/>
    <w:bookmarkStart w:id="46" w:name="conflict-of-interest"/>
    <w:p>
      <w:pPr>
        <w:pStyle w:val="Heading1"/>
      </w:pPr>
      <w:r>
        <w:t xml:space="preserve">Conflict of interest</w:t>
      </w:r>
    </w:p>
    <w:p>
      <w:pPr>
        <w:pStyle w:val="FirstParagraph"/>
      </w:pPr>
      <w:r>
        <w:t xml:space="preserve">The authors declare no conflict of interest.</w:t>
      </w:r>
    </w:p>
    <w:bookmarkEnd w:id="46"/>
    <w:bookmarkStart w:id="48" w:name="data-availability"/>
    <w:p>
      <w:pPr>
        <w:pStyle w:val="Heading1"/>
      </w:pPr>
      <w:r>
        <w:t xml:space="preserve">Data availability</w:t>
      </w:r>
    </w:p>
    <w:p>
      <w:pPr>
        <w:pStyle w:val="FirstParagraph"/>
      </w:pPr>
      <w:r>
        <w:t xml:space="preserve">Data and code required to reproduce our analyses are archived on Zenodo:</w:t>
      </w:r>
      <w:r>
        <w:t xml:space="preserve"> </w:t>
      </w:r>
      <w:hyperlink r:id="rId47">
        <w:r>
          <w:rPr>
            <w:rStyle w:val="Hyperlink"/>
          </w:rPr>
          <w:t xml:space="preserve">https://doi.org/10.5281/zenodo.19474729</w:t>
        </w:r>
      </w:hyperlink>
      <w:r>
        <w:t xml:space="preserve">.</w:t>
      </w:r>
    </w:p>
    <w:bookmarkEnd w:id="48"/>
    <w:bookmarkStart w:id="49" w:name="supplementary-materials"/>
    <w:p>
      <w:pPr>
        <w:pStyle w:val="Heading1"/>
      </w:pPr>
      <w:r>
        <w:t xml:space="preserve">Supplementary Materials</w:t>
      </w:r>
    </w:p>
    <w:p>
      <w:pPr>
        <w:pStyle w:val="FirstParagraph"/>
      </w:pPr>
      <w:r>
        <w:t xml:space="preserve">The supplementary materials include the following items:</w:t>
      </w:r>
    </w:p>
    <w:p>
      <w:pPr>
        <w:pStyle w:val="Compact"/>
        <w:numPr>
          <w:ilvl w:val="0"/>
          <w:numId w:val="1002"/>
        </w:numPr>
      </w:pPr>
      <w:r>
        <w:rPr>
          <w:b/>
          <w:bCs/>
        </w:rPr>
        <w:t xml:space="preserve">Supplementary Methods S1.1</w:t>
      </w:r>
      <w:r>
        <w:t xml:space="preserve">: Sampling-distribution workflow used for each MPM.</w:t>
      </w:r>
    </w:p>
    <w:p>
      <w:pPr>
        <w:pStyle w:val="Compact"/>
        <w:numPr>
          <w:ilvl w:val="0"/>
          <w:numId w:val="1002"/>
        </w:numPr>
      </w:pPr>
      <w:r>
        <w:rPr>
          <w:b/>
          <w:bCs/>
        </w:rPr>
        <w:t xml:space="preserve">Supplementary Methods S1.2</w:t>
      </w:r>
      <w:r>
        <w:t xml:space="preserve">: Age-from-stage derivation, truncation, and shape metric.</w:t>
      </w:r>
    </w:p>
    <w:p>
      <w:pPr>
        <w:pStyle w:val="Compact"/>
        <w:numPr>
          <w:ilvl w:val="0"/>
          <w:numId w:val="1002"/>
        </w:numPr>
      </w:pPr>
      <w:r>
        <w:rPr>
          <w:b/>
          <w:bCs/>
        </w:rPr>
        <w:t xml:space="preserve">Supplementary Methods S1.3</w:t>
      </w:r>
      <w:r>
        <w:t xml:space="preserve">: Pooled and mean MPM handling.</w:t>
      </w:r>
    </w:p>
    <w:p>
      <w:pPr>
        <w:pStyle w:val="Compact"/>
        <w:numPr>
          <w:ilvl w:val="0"/>
          <w:numId w:val="1002"/>
        </w:numPr>
      </w:pPr>
      <w:r>
        <w:rPr>
          <w:b/>
          <w:bCs/>
        </w:rPr>
        <w:t xml:space="preserve">Supplementary Methods S1.4</w:t>
      </w:r>
      <w:r>
        <w:t xml:space="preserve">: Bayesian model priors and fitting settings.</w:t>
      </w:r>
    </w:p>
    <w:p>
      <w:pPr>
        <w:pStyle w:val="Compact"/>
        <w:numPr>
          <w:ilvl w:val="0"/>
          <w:numId w:val="1002"/>
        </w:numPr>
      </w:pPr>
      <w:r>
        <w:rPr>
          <w:b/>
          <w:bCs/>
        </w:rPr>
        <w:t xml:space="preserve">Supplementary Methods S1.5</w:t>
      </w:r>
      <w:r>
        <w:t xml:space="preserve">: Variance-component summary (sampling-to-other ratio).</w:t>
      </w:r>
    </w:p>
    <w:p>
      <w:pPr>
        <w:pStyle w:val="Compact"/>
        <w:numPr>
          <w:ilvl w:val="0"/>
          <w:numId w:val="1002"/>
        </w:numPr>
      </w:pPr>
      <w:r>
        <w:rPr>
          <w:b/>
          <w:bCs/>
        </w:rPr>
        <w:t xml:space="preserve">Supplementary Methods S1.6</w:t>
      </w:r>
      <w:r>
        <w:t xml:space="preserve">: Simplified spring-temperature model (analysis 2).</w:t>
      </w:r>
    </w:p>
    <w:p>
      <w:pPr>
        <w:pStyle w:val="Compact"/>
        <w:numPr>
          <w:ilvl w:val="0"/>
          <w:numId w:val="1002"/>
        </w:numPr>
      </w:pPr>
      <w:r>
        <w:rPr>
          <w:b/>
          <w:bCs/>
        </w:rPr>
        <w:t xml:space="preserve">Supplementary Methods S1.7</w:t>
      </w:r>
      <w:r>
        <w:t xml:space="preserve">: Reporting recommendations for future MPM studies.</w:t>
      </w:r>
    </w:p>
    <w:p>
      <w:pPr>
        <w:pStyle w:val="Compact"/>
        <w:numPr>
          <w:ilvl w:val="0"/>
          <w:numId w:val="1002"/>
        </w:numPr>
      </w:pPr>
      <w:r>
        <w:rPr>
          <w:b/>
          <w:bCs/>
        </w:rPr>
        <w:t xml:space="preserve">Supplementary Methods S1.8</w:t>
      </w:r>
      <w:r>
        <w:t xml:space="preserve">: Included versus excluded studies in the current target-study screen.</w:t>
      </w:r>
    </w:p>
    <w:p>
      <w:pPr>
        <w:pStyle w:val="Compact"/>
        <w:numPr>
          <w:ilvl w:val="0"/>
          <w:numId w:val="1002"/>
        </w:numPr>
      </w:pPr>
      <w:r>
        <w:rPr>
          <w:b/>
          <w:bCs/>
        </w:rPr>
        <w:t xml:space="preserve">Supplementary Methods S1.9</w:t>
      </w:r>
      <w:r>
        <w:t xml:space="preserve">: Species identities in analysis 1.</w:t>
      </w:r>
    </w:p>
    <w:p>
      <w:pPr>
        <w:pStyle w:val="Compact"/>
        <w:numPr>
          <w:ilvl w:val="0"/>
          <w:numId w:val="1002"/>
        </w:numPr>
      </w:pPr>
      <w:r>
        <w:rPr>
          <w:b/>
          <w:bCs/>
        </w:rPr>
        <w:t xml:space="preserve">Supplementary Methods S1.10</w:t>
      </w:r>
      <w:r>
        <w:t xml:space="preserve">: Multisite robustness extension of analysis 2 (</w:t>
      </w:r>
      <w:r>
        <w:rPr>
          <w:i/>
          <w:iCs/>
        </w:rPr>
        <w:t xml:space="preserve">Astragalus scaphoides</w:t>
      </w:r>
      <w:r>
        <w:t xml:space="preserve">).</w:t>
      </w:r>
    </w:p>
    <w:p>
      <w:pPr>
        <w:pStyle w:val="Compact"/>
        <w:numPr>
          <w:ilvl w:val="0"/>
          <w:numId w:val="1002"/>
        </w:numPr>
      </w:pPr>
      <w:r>
        <w:rPr>
          <w:b/>
          <w:bCs/>
        </w:rPr>
        <w:t xml:space="preserve">Supplementary Methods S1.11</w:t>
      </w:r>
      <w:r>
        <w:t xml:space="preserve">: Boundary survival estimates and small stage-specific sample sizes in analysis 1.</w:t>
      </w:r>
    </w:p>
    <w:p>
      <w:pPr>
        <w:pStyle w:val="Compact"/>
        <w:numPr>
          <w:ilvl w:val="0"/>
          <w:numId w:val="1002"/>
        </w:numPr>
      </w:pPr>
      <w:r>
        <w:rPr>
          <w:b/>
          <w:bCs/>
        </w:rPr>
        <w:t xml:space="preserve">Supplementary Methods S1.12</w:t>
      </w:r>
      <w:r>
        <w:t xml:space="preserve">: Displacement magnitude versus boundary survival structure.</w:t>
      </w:r>
    </w:p>
    <w:p>
      <w:pPr>
        <w:pStyle w:val="Compact"/>
        <w:numPr>
          <w:ilvl w:val="0"/>
          <w:numId w:val="1002"/>
        </w:numPr>
      </w:pPr>
      <w:r>
        <w:rPr>
          <w:b/>
          <w:bCs/>
        </w:rPr>
        <w:t xml:space="preserve">Supplementary Methods S1.13</w:t>
      </w:r>
      <w:r>
        <w:t xml:space="preserve">: Sensitivity to the quasi-stable-distribution truncation threshold.</w:t>
      </w:r>
    </w:p>
    <w:p>
      <w:pPr>
        <w:pStyle w:val="Compact"/>
        <w:numPr>
          <w:ilvl w:val="0"/>
          <w:numId w:val="1002"/>
        </w:numPr>
      </w:pPr>
      <w:r>
        <w:rPr>
          <w:b/>
          <w:bCs/>
        </w:rPr>
        <w:t xml:space="preserve">Supplementary Results S2.1</w:t>
      </w:r>
      <w:r>
        <w:t xml:space="preserve">: Sensitivity to point-estimate weighting choice (no weights vs SSD weights).</w:t>
      </w:r>
    </w:p>
    <w:p>
      <w:pPr>
        <w:pStyle w:val="Compact"/>
        <w:numPr>
          <w:ilvl w:val="0"/>
          <w:numId w:val="1002"/>
        </w:numPr>
      </w:pPr>
      <w:r>
        <w:rPr>
          <w:b/>
          <w:bCs/>
        </w:rPr>
        <w:t xml:space="preserve">Supplementary Results S2.4</w:t>
      </w:r>
      <w:r>
        <w:t xml:space="preserve">: Sensitivity of shape estimates to the truncation threshold.</w:t>
      </w:r>
    </w:p>
    <w:p>
      <w:pPr>
        <w:pStyle w:val="Compact"/>
        <w:numPr>
          <w:ilvl w:val="0"/>
          <w:numId w:val="1002"/>
        </w:numPr>
      </w:pPr>
      <w:r>
        <w:rPr>
          <w:b/>
          <w:bCs/>
        </w:rPr>
        <w:t xml:space="preserve">Table S1</w:t>
      </w:r>
      <w:r>
        <w:t xml:space="preserve">: Single-MPM derived-parameter summary for the focal</w:t>
      </w:r>
      <w:r>
        <w:t xml:space="preserve"> </w:t>
      </w:r>
      <w:r>
        <w:rPr>
          <w:i/>
          <w:iCs/>
        </w:rPr>
        <w:t xml:space="preserve">Agrimonia eupatoria</w:t>
      </w:r>
      <w:r>
        <w:t xml:space="preserve"> </w:t>
      </w:r>
      <w:r>
        <w:t xml:space="preserve">example.</w:t>
      </w:r>
    </w:p>
    <w:p>
      <w:pPr>
        <w:pStyle w:val="Compact"/>
        <w:numPr>
          <w:ilvl w:val="0"/>
          <w:numId w:val="1002"/>
        </w:numPr>
      </w:pPr>
      <w:r>
        <w:rPr>
          <w:b/>
          <w:bCs/>
        </w:rPr>
        <w:t xml:space="preserve">Table S2</w:t>
      </w:r>
      <w:r>
        <w:t xml:space="preserve">: Mean-MPM derived-parameter summary for the focal</w:t>
      </w:r>
      <w:r>
        <w:t xml:space="preserve"> </w:t>
      </w:r>
      <w:r>
        <w:rPr>
          <w:i/>
          <w:iCs/>
        </w:rPr>
        <w:t xml:space="preserve">Agrimonia eupatoria</w:t>
      </w:r>
      <w:r>
        <w:t xml:space="preserve"> </w:t>
      </w:r>
      <w:r>
        <w:t xml:space="preserve">example (population B).</w:t>
      </w:r>
    </w:p>
    <w:p>
      <w:pPr>
        <w:pStyle w:val="Compact"/>
        <w:numPr>
          <w:ilvl w:val="0"/>
          <w:numId w:val="1002"/>
        </w:numPr>
      </w:pPr>
      <w:r>
        <w:rPr>
          <w:b/>
          <w:bCs/>
        </w:rPr>
        <w:t xml:space="preserve">Table S3</w:t>
      </w:r>
      <w:r>
        <w:t xml:space="preserve">: Analysis 1 posterior summary for the slope parameter (β) in the life expectancy-shape model.</w:t>
      </w:r>
    </w:p>
    <w:p>
      <w:pPr>
        <w:pStyle w:val="Compact"/>
        <w:numPr>
          <w:ilvl w:val="0"/>
          <w:numId w:val="1002"/>
        </w:numPr>
      </w:pPr>
      <w:r>
        <w:rPr>
          <w:b/>
          <w:bCs/>
        </w:rPr>
        <w:t xml:space="preserve">Table S4</w:t>
      </w:r>
      <w:r>
        <w:t xml:space="preserve">: Analysis 2 Gaussian-process regression coefficients (monthly lags) for recruitment responses to temperature anomalies.</w:t>
      </w:r>
    </w:p>
    <w:p>
      <w:pPr>
        <w:pStyle w:val="Compact"/>
        <w:numPr>
          <w:ilvl w:val="0"/>
          <w:numId w:val="1002"/>
        </w:numPr>
      </w:pPr>
      <w:r>
        <w:rPr>
          <w:b/>
          <w:bCs/>
        </w:rPr>
        <w:t xml:space="preserve">Table S5</w:t>
      </w:r>
      <w:r>
        <w:t xml:space="preserve">: Analysis 2 posterior summary for the spring-temperature coefficient.</w:t>
      </w:r>
    </w:p>
    <w:p>
      <w:pPr>
        <w:pStyle w:val="Compact"/>
        <w:numPr>
          <w:ilvl w:val="0"/>
          <w:numId w:val="1002"/>
        </w:numPr>
      </w:pPr>
      <w:r>
        <w:rPr>
          <w:b/>
          <w:bCs/>
        </w:rPr>
        <w:t xml:space="preserve">Table S6</w:t>
      </w:r>
      <w:r>
        <w:t xml:space="preserve">: Primary studies represented in the analysis subset, as identified in COMPADRE.</w:t>
      </w:r>
    </w:p>
    <w:p>
      <w:pPr>
        <w:pStyle w:val="Compact"/>
        <w:numPr>
          <w:ilvl w:val="0"/>
          <w:numId w:val="1002"/>
        </w:numPr>
      </w:pPr>
      <w:r>
        <w:rPr>
          <w:b/>
          <w:bCs/>
        </w:rPr>
        <w:t xml:space="preserve">Table S7</w:t>
      </w:r>
      <w:r>
        <w:t xml:space="preserve">: Multisite robustness-analysis site coverage and spring-temperature effect summaries for</w:t>
      </w:r>
      <w:r>
        <w:t xml:space="preserve"> </w:t>
      </w:r>
      <w:r>
        <w:rPr>
          <w:i/>
          <w:iCs/>
        </w:rPr>
        <w:t xml:space="preserve">Astragalus scaphoides</w:t>
      </w:r>
      <w:r>
        <w:t xml:space="preserve">.</w:t>
      </w:r>
    </w:p>
    <w:p>
      <w:pPr>
        <w:pStyle w:val="Compact"/>
        <w:numPr>
          <w:ilvl w:val="0"/>
          <w:numId w:val="1002"/>
        </w:numPr>
      </w:pPr>
      <w:r>
        <w:rPr>
          <w:b/>
          <w:bCs/>
        </w:rPr>
        <w:t xml:space="preserve">Table S8</w:t>
      </w:r>
      <w:r>
        <w:t xml:space="preserve">: Multisite robustness-analysis posterior summary for the spring-temperature coefficient by site and model formulation.</w:t>
      </w:r>
    </w:p>
    <w:p>
      <w:pPr>
        <w:pStyle w:val="Compact"/>
        <w:numPr>
          <w:ilvl w:val="0"/>
          <w:numId w:val="1002"/>
        </w:numPr>
      </w:pPr>
      <w:r>
        <w:rPr>
          <w:b/>
          <w:bCs/>
        </w:rPr>
        <w:t xml:space="preserve">Table S9</w:t>
      </w:r>
      <w:r>
        <w:t xml:space="preserve">: Analysis 2 stage-specific survival-temperature coefficients under no weights and SSD weights.</w:t>
      </w:r>
    </w:p>
    <w:p>
      <w:pPr>
        <w:pStyle w:val="Compact"/>
        <w:numPr>
          <w:ilvl w:val="0"/>
          <w:numId w:val="1002"/>
        </w:numPr>
      </w:pPr>
      <w:r>
        <w:rPr>
          <w:b/>
          <w:bCs/>
        </w:rPr>
        <w:t xml:space="preserve">Table S10</w:t>
      </w:r>
      <w:r>
        <w:t xml:space="preserve">: Multisite robustness-analysis stage-specific survival-temperature coefficients under no weights and SSD weights.</w:t>
      </w:r>
    </w:p>
    <w:p>
      <w:pPr>
        <w:pStyle w:val="Compact"/>
        <w:numPr>
          <w:ilvl w:val="0"/>
          <w:numId w:val="1002"/>
        </w:numPr>
      </w:pPr>
      <w:r>
        <w:rPr>
          <w:b/>
          <w:bCs/>
        </w:rPr>
        <w:t xml:space="preserve">Table S11</w:t>
      </w:r>
      <w:r>
        <w:t xml:space="preserve">: Comparison of screened target studies that were included versus excluded under the current reproducible COMPADRE-based screen.</w:t>
      </w:r>
    </w:p>
    <w:p>
      <w:pPr>
        <w:pStyle w:val="Compact"/>
        <w:numPr>
          <w:ilvl w:val="0"/>
          <w:numId w:val="1002"/>
        </w:numPr>
      </w:pPr>
      <w:r>
        <w:rPr>
          <w:b/>
          <w:bCs/>
        </w:rPr>
        <w:t xml:space="preserve">Table S12</w:t>
      </w:r>
      <w:r>
        <w:t xml:space="preserve">: Distribution of boundary survival estimates and small stage-specific sample sizes across analysis 1 population-level MPM entries.</w:t>
      </w:r>
    </w:p>
    <w:p>
      <w:pPr>
        <w:pStyle w:val="Compact"/>
        <w:numPr>
          <w:ilvl w:val="0"/>
          <w:numId w:val="1002"/>
        </w:numPr>
      </w:pPr>
      <w:r>
        <w:rPr>
          <w:b/>
          <w:bCs/>
        </w:rPr>
        <w:t xml:space="preserve">Table S13</w:t>
      </w:r>
      <w:r>
        <w:t xml:space="preserve">: Linear models relating displacement magnitude in analysis 1 to boundary-survival predictors.</w:t>
      </w:r>
    </w:p>
    <w:p>
      <w:pPr>
        <w:pStyle w:val="Compact"/>
        <w:numPr>
          <w:ilvl w:val="0"/>
          <w:numId w:val="1002"/>
        </w:numPr>
      </w:pPr>
      <w:r>
        <w:rPr>
          <w:b/>
          <w:bCs/>
        </w:rPr>
        <w:t xml:space="preserve">Table S14</w:t>
      </w:r>
      <w:r>
        <w:t xml:space="preserve">: Sensitivity of analysis 1 shape estimates to the quasi-stable-distribution truncation threshold.</w:t>
      </w:r>
    </w:p>
    <w:p>
      <w:pPr>
        <w:pStyle w:val="Compact"/>
        <w:numPr>
          <w:ilvl w:val="0"/>
          <w:numId w:val="1002"/>
        </w:numPr>
      </w:pPr>
      <w:r>
        <w:rPr>
          <w:b/>
          <w:bCs/>
        </w:rPr>
        <w:t xml:space="preserve">Figure S1</w:t>
      </w:r>
      <w:r>
        <w:t xml:space="preserve">: Boundary-estimate diagnostic.</w:t>
      </w:r>
    </w:p>
    <w:p>
      <w:pPr>
        <w:pStyle w:val="Compact"/>
        <w:numPr>
          <w:ilvl w:val="0"/>
          <w:numId w:val="1002"/>
        </w:numPr>
      </w:pPr>
      <w:r>
        <w:rPr>
          <w:b/>
          <w:bCs/>
        </w:rPr>
        <w:t xml:space="preserve">Figure S2</w:t>
      </w:r>
      <w:r>
        <w:t xml:space="preserve">: Illustration of survivorship trajectories under boundary survival transitions.</w:t>
      </w:r>
    </w:p>
    <w:p>
      <w:pPr>
        <w:pStyle w:val="Compact"/>
        <w:numPr>
          <w:ilvl w:val="0"/>
          <w:numId w:val="1002"/>
        </w:numPr>
      </w:pPr>
      <w:r>
        <w:rPr>
          <w:b/>
          <w:bCs/>
        </w:rPr>
        <w:t xml:space="preserve">Figure S3</w:t>
      </w:r>
      <w:r>
        <w:t xml:space="preserve">: Displacement magnitude in analysis 1 versus boundary-survival structure.</w:t>
      </w:r>
    </w:p>
    <w:p>
      <w:pPr>
        <w:pStyle w:val="Compact"/>
        <w:numPr>
          <w:ilvl w:val="0"/>
          <w:numId w:val="1002"/>
        </w:numPr>
      </w:pPr>
      <w:r>
        <w:rPr>
          <w:b/>
          <w:bCs/>
        </w:rPr>
        <w:t xml:space="preserve">Figure S4</w:t>
      </w:r>
      <w:r>
        <w:t xml:space="preserve">: Sensitivity of analysis 1 shape estimates to the quasi-stable-distribution truncation threshold.</w:t>
      </w:r>
    </w:p>
    <w:p>
      <w:pPr>
        <w:pStyle w:val="Compact"/>
        <w:numPr>
          <w:ilvl w:val="0"/>
          <w:numId w:val="1002"/>
        </w:numPr>
      </w:pPr>
      <w:r>
        <w:rPr>
          <w:b/>
          <w:bCs/>
        </w:rPr>
        <w:t xml:space="preserve">Figure S5</w:t>
      </w:r>
      <w:r>
        <w:t xml:space="preserve">: Multisite robustness analysis for</w:t>
      </w:r>
      <w:r>
        <w:t xml:space="preserve"> </w:t>
      </w:r>
      <w:r>
        <w:rPr>
          <w:i/>
          <w:iCs/>
        </w:rPr>
        <w:t xml:space="preserve">Astragalus scaphoides</w:t>
      </w:r>
      <w:r>
        <w:t xml:space="preserve">.</w:t>
      </w:r>
    </w:p>
    <w:p>
      <w:r>
        <w:br w:type="page"/>
      </w:r>
    </w:p>
    <w:bookmarkEnd w:id="49"/>
    <w:bookmarkStart w:id="88" w:name="references"/>
    <w:p>
      <w:pPr>
        <w:pStyle w:val="Heading1"/>
      </w:pPr>
      <w:r>
        <w:t xml:space="preserve">References</w:t>
      </w:r>
    </w:p>
    <w:p>
      <w:pPr>
        <w:pStyle w:val="FirstParagraph"/>
      </w:pPr>
      <w:r>
        <w:t xml:space="preserve">Adler, P. B., Salguero-Gómez, R., Compagnoni, A., Hsu, J. S., Ray-Mukherjee, J., Mbeau-Ache, C., and Franco, M. (2014) Functional traits explain variation in plant life history strategies.</w:t>
      </w:r>
      <w:r>
        <w:t xml:space="preserve"> </w:t>
      </w:r>
      <w:r>
        <w:rPr>
          <w:i/>
          <w:iCs/>
        </w:rPr>
        <w:t xml:space="preserve">Proceedings of the National Academy of Sciences</w:t>
      </w:r>
      <w:r>
        <w:t xml:space="preserve">, 111, 740-745.</w:t>
      </w:r>
      <w:r>
        <w:t xml:space="preserve"> </w:t>
      </w:r>
      <w:hyperlink r:id="rId50">
        <w:r>
          <w:rPr>
            <w:rStyle w:val="Hyperlink"/>
          </w:rPr>
          <w:t xml:space="preserve">https://doi.org/10.1073/pnas.1315179111</w:t>
        </w:r>
      </w:hyperlink>
    </w:p>
    <w:p>
      <w:pPr>
        <w:pStyle w:val="BodyText"/>
      </w:pPr>
      <w:r>
        <w:t xml:space="preserve">Baudisch, A. (2011) The pace and shape of ageing.</w:t>
      </w:r>
      <w:r>
        <w:t xml:space="preserve"> </w:t>
      </w:r>
      <w:r>
        <w:rPr>
          <w:i/>
          <w:iCs/>
        </w:rPr>
        <w:t xml:space="preserve">Methods in Ecology and Evolution</w:t>
      </w:r>
      <w:r>
        <w:t xml:space="preserve">, 2, 375-382.</w:t>
      </w:r>
      <w:r>
        <w:t xml:space="preserve"> </w:t>
      </w:r>
      <w:hyperlink r:id="rId51">
        <w:r>
          <w:rPr>
            <w:rStyle w:val="Hyperlink"/>
          </w:rPr>
          <w:t xml:space="preserve">https://doi.org/10.1111/j.2041-210X.2010.00087.x</w:t>
        </w:r>
      </w:hyperlink>
    </w:p>
    <w:p>
      <w:pPr>
        <w:pStyle w:val="BodyText"/>
      </w:pPr>
      <w:r>
        <w:t xml:space="preserve">Baudisch, A., Salguero-Gómez, R., Jones, O. R., Wrycza, T., Mbeau-Ache, C., Franco, M., and Colchero, F. (2013) The pace and shape of senescence in angiosperms.</w:t>
      </w:r>
      <w:r>
        <w:t xml:space="preserve"> </w:t>
      </w:r>
      <w:r>
        <w:rPr>
          <w:i/>
          <w:iCs/>
        </w:rPr>
        <w:t xml:space="preserve">Journal of Ecology</w:t>
      </w:r>
      <w:r>
        <w:t xml:space="preserve">, 101, 596-606.</w:t>
      </w:r>
      <w:r>
        <w:t xml:space="preserve"> </w:t>
      </w:r>
      <w:hyperlink r:id="rId52">
        <w:r>
          <w:rPr>
            <w:rStyle w:val="Hyperlink"/>
          </w:rPr>
          <w:t xml:space="preserve">https://doi.org/10.1111/1365-2745.12084</w:t>
        </w:r>
      </w:hyperlink>
    </w:p>
    <w:p>
      <w:pPr>
        <w:pStyle w:val="BodyText"/>
      </w:pPr>
      <w:r>
        <w:t xml:space="preserve">Biggs, R., Carpenter, S. R., and Brock, W. A. (2009) Spurious certainty: how ignoring measurement error and environmental heterogeneity may contribute to environmental controversies.</w:t>
      </w:r>
      <w:r>
        <w:t xml:space="preserve"> </w:t>
      </w:r>
      <w:r>
        <w:rPr>
          <w:i/>
          <w:iCs/>
        </w:rPr>
        <w:t xml:space="preserve">BioScience</w:t>
      </w:r>
      <w:r>
        <w:t xml:space="preserve">, 59, 65-76.</w:t>
      </w:r>
      <w:r>
        <w:t xml:space="preserve"> </w:t>
      </w:r>
      <w:hyperlink r:id="rId53">
        <w:r>
          <w:rPr>
            <w:rStyle w:val="Hyperlink"/>
          </w:rPr>
          <w:t xml:space="preserve">https://doi.org/10.1525/bio.2009.59.1.10</w:t>
        </w:r>
      </w:hyperlink>
    </w:p>
    <w:p>
      <w:pPr>
        <w:pStyle w:val="BodyText"/>
      </w:pPr>
      <w:r>
        <w:t xml:space="preserve">Caswell, H. (2001)</w:t>
      </w:r>
      <w:r>
        <w:t xml:space="preserve"> </w:t>
      </w:r>
      <w:r>
        <w:rPr>
          <w:i/>
          <w:iCs/>
        </w:rPr>
        <w:t xml:space="preserve">Matrix population models: construction, analysis, and interpretation</w:t>
      </w:r>
      <w:r>
        <w:t xml:space="preserve">, 2nd ed. Sinauer, Sunderland, MA.</w:t>
      </w:r>
    </w:p>
    <w:p>
      <w:pPr>
        <w:pStyle w:val="BodyText"/>
      </w:pPr>
      <w:r>
        <w:t xml:space="preserve">Cochran, M. E., and Ellner, S. (1992) Simple Methods for Calculating age-based life history parameters for stage-structured populations.</w:t>
      </w:r>
      <w:r>
        <w:t xml:space="preserve"> </w:t>
      </w:r>
      <w:r>
        <w:rPr>
          <w:i/>
          <w:iCs/>
        </w:rPr>
        <w:t xml:space="preserve">Ecological Monographs</w:t>
      </w:r>
      <w:r>
        <w:t xml:space="preserve">, 62, 345-364.</w:t>
      </w:r>
      <w:r>
        <w:t xml:space="preserve"> </w:t>
      </w:r>
      <w:hyperlink r:id="rId54">
        <w:r>
          <w:rPr>
            <w:rStyle w:val="Hyperlink"/>
          </w:rPr>
          <w:t xml:space="preserve">https://doi.org/10.2307/2937115</w:t>
        </w:r>
      </w:hyperlink>
    </w:p>
    <w:p>
      <w:pPr>
        <w:pStyle w:val="BodyText"/>
      </w:pPr>
      <w:r>
        <w:t xml:space="preserve">Coutts, S. R., Salguero-Gómez, R., Csergő, A. M., and Buckley, Y. M. (2016) Extrapolating demography with climate, proximity and phylogeny: approach with caution.</w:t>
      </w:r>
      <w:r>
        <w:t xml:space="preserve"> </w:t>
      </w:r>
      <w:r>
        <w:rPr>
          <w:i/>
          <w:iCs/>
        </w:rPr>
        <w:t xml:space="preserve">Ecology Letters</w:t>
      </w:r>
      <w:r>
        <w:t xml:space="preserve">, 19, 1429-1438.</w:t>
      </w:r>
      <w:r>
        <w:t xml:space="preserve"> </w:t>
      </w:r>
      <w:hyperlink r:id="rId55">
        <w:r>
          <w:rPr>
            <w:rStyle w:val="Hyperlink"/>
          </w:rPr>
          <w:t xml:space="preserve">https://doi.org/10.1111/ele.12691</w:t>
        </w:r>
      </w:hyperlink>
    </w:p>
    <w:p>
      <w:pPr>
        <w:pStyle w:val="BodyText"/>
      </w:pPr>
      <w:r>
        <w:t xml:space="preserve">Crone, E.E. and Lesica, P. (2004) Causes of synchronous flowering in</w:t>
      </w:r>
      <w:r>
        <w:t xml:space="preserve"> </w:t>
      </w:r>
      <w:r>
        <w:rPr>
          <w:i/>
          <w:iCs/>
        </w:rPr>
        <w:t xml:space="preserve">Astragalus scaphoides</w:t>
      </w:r>
      <w:r>
        <w:t xml:space="preserve">, an iteroparous perennial plant.</w:t>
      </w:r>
      <w:r>
        <w:t xml:space="preserve"> </w:t>
      </w:r>
      <w:r>
        <w:rPr>
          <w:i/>
          <w:iCs/>
        </w:rPr>
        <w:t xml:space="preserve">Ecology</w:t>
      </w:r>
      <w:r>
        <w:t xml:space="preserve">, 85: 1944-1954.</w:t>
      </w:r>
      <w:r>
        <w:t xml:space="preserve"> </w:t>
      </w:r>
      <w:hyperlink r:id="rId56">
        <w:r>
          <w:rPr>
            <w:rStyle w:val="Hyperlink"/>
          </w:rPr>
          <w:t xml:space="preserve">https://doi.org/10.1890/03-0256</w:t>
        </w:r>
      </w:hyperlink>
    </w:p>
    <w:p>
      <w:pPr>
        <w:pStyle w:val="BodyText"/>
      </w:pPr>
      <w:r>
        <w:t xml:space="preserve">Csergő, A. M., Salguero-Gómez, R., Broennimann, O., Coutts, S. R., Guisan, A., Angert, A. L., Welk, E., Stott, I., Enquist, B. J., McGill, B., Svenning, J. C., Violle, C., and Buckley, Y. M. (2017) Less favourable climates constrain demographic strategies in plants.</w:t>
      </w:r>
      <w:r>
        <w:t xml:space="preserve"> </w:t>
      </w:r>
      <w:r>
        <w:rPr>
          <w:i/>
          <w:iCs/>
        </w:rPr>
        <w:t xml:space="preserve">Ecology Letters</w:t>
      </w:r>
      <w:r>
        <w:t xml:space="preserve">, 20, 969-980.</w:t>
      </w:r>
      <w:r>
        <w:t xml:space="preserve"> </w:t>
      </w:r>
      <w:hyperlink r:id="rId57">
        <w:r>
          <w:rPr>
            <w:rStyle w:val="Hyperlink"/>
          </w:rPr>
          <w:t xml:space="preserve">https://doi.org/10.1111/ele.12794</w:t>
        </w:r>
      </w:hyperlink>
    </w:p>
    <w:p>
      <w:pPr>
        <w:pStyle w:val="BodyText"/>
      </w:pPr>
      <w:r>
        <w:t xml:space="preserve">Daly, C., Halbleib, M., Smith, J. I., Gibson, W. P., Doggett, M. K., Taylor, G. H., Curtis, J., and Pasteris, P. A. (2008) Physiographically sensitive mapping of climatological temperature and precipitation across the conterminous United States.</w:t>
      </w:r>
      <w:r>
        <w:t xml:space="preserve"> </w:t>
      </w:r>
      <w:r>
        <w:rPr>
          <w:i/>
          <w:iCs/>
        </w:rPr>
        <w:t xml:space="preserve">International Journal of Climatology</w:t>
      </w:r>
      <w:r>
        <w:t xml:space="preserve">, 28, 2031-2064.</w:t>
      </w:r>
      <w:r>
        <w:t xml:space="preserve"> </w:t>
      </w:r>
      <w:hyperlink r:id="rId58">
        <w:r>
          <w:rPr>
            <w:rStyle w:val="Hyperlink"/>
          </w:rPr>
          <w:t xml:space="preserve">https://doi.org/10.1002/joc.1688</w:t>
        </w:r>
      </w:hyperlink>
    </w:p>
    <w:p>
      <w:pPr>
        <w:pStyle w:val="BodyText"/>
      </w:pPr>
      <w:r>
        <w:t xml:space="preserve">de Magalhães, J. P., and Costa, J. (2009) A database of vertebrate longevity records and their relation to other life-history traits.</w:t>
      </w:r>
      <w:r>
        <w:t xml:space="preserve"> </w:t>
      </w:r>
      <w:r>
        <w:rPr>
          <w:i/>
          <w:iCs/>
        </w:rPr>
        <w:t xml:space="preserve">Journal of Evolutionary Biology</w:t>
      </w:r>
      <w:r>
        <w:t xml:space="preserve">, 22, 1770-1774.</w:t>
      </w:r>
      <w:r>
        <w:t xml:space="preserve"> </w:t>
      </w:r>
      <w:hyperlink r:id="rId59">
        <w:r>
          <w:rPr>
            <w:rStyle w:val="Hyperlink"/>
          </w:rPr>
          <w:t xml:space="preserve">https://doi.org/10.1111/j.1420-9101.2009.01783.x</w:t>
        </w:r>
      </w:hyperlink>
    </w:p>
    <w:p>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w:t>
      </w:r>
      <w:r>
        <w:t xml:space="preserve"> </w:t>
      </w:r>
      <w:r>
        <w:rPr>
          <w:i/>
          <w:iCs/>
        </w:rPr>
        <w:t xml:space="preserve">Ecology</w:t>
      </w:r>
      <w:r>
        <w:t xml:space="preserve">, 93, 951-951.</w:t>
      </w:r>
      <w:r>
        <w:t xml:space="preserve"> </w:t>
      </w:r>
      <w:hyperlink r:id="rId60">
        <w:r>
          <w:rPr>
            <w:rStyle w:val="Hyperlink"/>
          </w:rPr>
          <w:t xml:space="preserve">https://doi.org/10.1890/11-1052.1</w:t>
        </w:r>
      </w:hyperlink>
    </w:p>
    <w:p>
      <w:pPr>
        <w:pStyle w:val="BodyText"/>
      </w:pPr>
      <w:r>
        <w:t xml:space="preserve">Franco, M., and Silvertown, J. (1996) Life history variation in plants: an exploration of the fast-slow continuum hypothesis.</w:t>
      </w:r>
      <w:r>
        <w:t xml:space="preserve"> </w:t>
      </w:r>
      <w:r>
        <w:rPr>
          <w:i/>
          <w:iCs/>
        </w:rPr>
        <w:t xml:space="preserve">Philosophical Transactions of the Royal Society of London B</w:t>
      </w:r>
      <w:r>
        <w:t xml:space="preserve">, 351, 1341-1348.</w:t>
      </w:r>
      <w:r>
        <w:t xml:space="preserve"> </w:t>
      </w:r>
      <w:hyperlink r:id="rId61">
        <w:r>
          <w:rPr>
            <w:rStyle w:val="Hyperlink"/>
          </w:rPr>
          <w:t xml:space="preserve">https://doi.org/10.1098/rstb.1996.0117</w:t>
        </w:r>
      </w:hyperlink>
    </w:p>
    <w:p>
      <w:pPr>
        <w:pStyle w:val="BodyText"/>
      </w:pPr>
      <w:r>
        <w:t xml:space="preserve">Fristoe, T. S., Iwaniuk, A. N., and Botero, C. A. (2017) Big brains stabilize populations and facilitate colonization of variable habitats in birds.</w:t>
      </w:r>
      <w:r>
        <w:t xml:space="preserve"> </w:t>
      </w:r>
      <w:r>
        <w:rPr>
          <w:i/>
          <w:iCs/>
        </w:rPr>
        <w:t xml:space="preserve">Nature Ecology &amp; Evolution</w:t>
      </w:r>
      <w:r>
        <w:t xml:space="preserve">, 1, 1706.</w:t>
      </w:r>
      <w:r>
        <w:t xml:space="preserve"> </w:t>
      </w:r>
      <w:hyperlink r:id="rId62">
        <w:r>
          <w:rPr>
            <w:rStyle w:val="Hyperlink"/>
          </w:rPr>
          <w:t xml:space="preserve">https://doi.org/10.1038/s41559-017-0316-2</w:t>
        </w:r>
      </w:hyperlink>
    </w:p>
    <w:p>
      <w:pPr>
        <w:pStyle w:val="BodyText"/>
      </w:pPr>
      <w:r>
        <w:t xml:space="preserve">Garratt, M., Gaillard, J.-M., Brooks, R. C., and Lemaître, J.-F. (2013) Diversification of the eutherian placenta is associated with changes in the pace of life.</w:t>
      </w:r>
      <w:r>
        <w:t xml:space="preserve"> </w:t>
      </w:r>
      <w:r>
        <w:rPr>
          <w:i/>
          <w:iCs/>
        </w:rPr>
        <w:t xml:space="preserve">Proceedings of the National Academy of Sciences</w:t>
      </w:r>
      <w:r>
        <w:t xml:space="preserve">, 110, 7760-7765.</w:t>
      </w:r>
      <w:r>
        <w:t xml:space="preserve"> </w:t>
      </w:r>
      <w:hyperlink r:id="rId63">
        <w:r>
          <w:rPr>
            <w:rStyle w:val="Hyperlink"/>
          </w:rPr>
          <w:t xml:space="preserve">https://doi.org/10.1073/pnas.1305018110</w:t>
        </w:r>
      </w:hyperlink>
    </w:p>
    <w:p>
      <w:pPr>
        <w:pStyle w:val="BodyText"/>
      </w:pPr>
      <w:r>
        <w:t xml:space="preserve">Healy, K., Guillerme, T., Finlay, S., Kane, A., Kelly, S. B. A., McClean, D., Kelly, D. J., Donohue, I., Jackson, A. L., and Cooper, N. (2014) Ecology and mode-of-life explain lifespan variation in birds and mammals.</w:t>
      </w:r>
      <w:r>
        <w:t xml:space="preserve"> </w:t>
      </w:r>
      <w:r>
        <w:rPr>
          <w:i/>
          <w:iCs/>
        </w:rPr>
        <w:t xml:space="preserve">Proceedings of the Royal Society B: Biological Sciences</w:t>
      </w:r>
      <w:r>
        <w:t xml:space="preserve">, 281, 20140298.</w:t>
      </w:r>
      <w:r>
        <w:t xml:space="preserve"> </w:t>
      </w:r>
      <w:hyperlink r:id="rId64">
        <w:r>
          <w:rPr>
            <w:rStyle w:val="Hyperlink"/>
          </w:rPr>
          <w:t xml:space="preserve">https://doi.org/10.1098/rspb.2014.0298</w:t>
        </w:r>
      </w:hyperlink>
    </w:p>
    <w:p>
      <w:pPr>
        <w:pStyle w:val="BodyText"/>
      </w:pPr>
      <w:r>
        <w:t xml:space="preserve">Healy, K., Ezard, T. H. G., Jones, O. R., Salguero-Gómez, R., and Buckley, Y. M. (2019) Animal life history is shaped by the pace of life and the distribution of age-specific mortality and reproduction.</w:t>
      </w:r>
      <w:r>
        <w:t xml:space="preserve"> </w:t>
      </w:r>
      <w:r>
        <w:rPr>
          <w:i/>
          <w:iCs/>
        </w:rPr>
        <w:t xml:space="preserve">Nature Ecology &amp; Evolution</w:t>
      </w:r>
      <w:r>
        <w:t xml:space="preserve">, 3, 1217-1224.</w:t>
      </w:r>
      <w:r>
        <w:t xml:space="preserve"> </w:t>
      </w:r>
      <w:hyperlink r:id="rId65">
        <w:r>
          <w:rPr>
            <w:rStyle w:val="Hyperlink"/>
          </w:rPr>
          <w:t xml:space="preserve">https://doi.org/10.1038/s41559-019-0938-7</w:t>
        </w:r>
      </w:hyperlink>
    </w:p>
    <w:p>
      <w:pPr>
        <w:pStyle w:val="BodyText"/>
      </w:pPr>
      <w:r>
        <w:t xml:space="preserve">Horvitz, C. C., and Tuljapurkar, S. (2008) Stage dynamics, period survival, and mortality plateaus.</w:t>
      </w:r>
      <w:r>
        <w:t xml:space="preserve"> </w:t>
      </w:r>
      <w:r>
        <w:rPr>
          <w:i/>
          <w:iCs/>
        </w:rPr>
        <w:t xml:space="preserve">The American Naturalist</w:t>
      </w:r>
      <w:r>
        <w:t xml:space="preserve">, 172, 203-215.</w:t>
      </w:r>
      <w:r>
        <w:t xml:space="preserve"> </w:t>
      </w:r>
      <w:hyperlink r:id="rId66">
        <w:r>
          <w:rPr>
            <w:rStyle w:val="Hyperlink"/>
          </w:rPr>
          <w:t xml:space="preserve">https://doi.org/10.1086/589453</w:t>
        </w:r>
      </w:hyperlink>
    </w:p>
    <w:p>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w:t>
      </w:r>
      <w:r>
        <w:t xml:space="preserve"> </w:t>
      </w:r>
      <w:r>
        <w:rPr>
          <w:i/>
          <w:iCs/>
        </w:rPr>
        <w:t xml:space="preserve">Ecology</w:t>
      </w:r>
      <w:r>
        <w:t xml:space="preserve">, 90, 2648-2648.</w:t>
      </w:r>
      <w:r>
        <w:t xml:space="preserve"> </w:t>
      </w:r>
      <w:hyperlink r:id="rId67">
        <w:r>
          <w:rPr>
            <w:rStyle w:val="Hyperlink"/>
          </w:rPr>
          <w:t xml:space="preserve">https://doi.org/10.1890/08-1494.1</w:t>
        </w:r>
      </w:hyperlink>
    </w:p>
    <w:p>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w:t>
      </w:r>
      <w:r>
        <w:t xml:space="preserve"> </w:t>
      </w:r>
      <w:r>
        <w:rPr>
          <w:i/>
          <w:iCs/>
        </w:rPr>
        <w:t xml:space="preserve">Nature</w:t>
      </w:r>
      <w:r>
        <w:t xml:space="preserve">, 505, 169-173.</w:t>
      </w:r>
      <w:r>
        <w:t xml:space="preserve"> </w:t>
      </w:r>
      <w:hyperlink r:id="rId68">
        <w:r>
          <w:rPr>
            <w:rStyle w:val="Hyperlink"/>
          </w:rPr>
          <w:t xml:space="preserve">https://doi.org/10.1038/nature12789</w:t>
        </w:r>
      </w:hyperlink>
    </w:p>
    <w:p>
      <w:pPr>
        <w:pStyle w:val="BodyText"/>
      </w:pPr>
      <w:r>
        <w:t xml:space="preserve">Kendall, B. E. (1998) Estimating the magnitude of environmental stochasticity in survivorship data.</w:t>
      </w:r>
      <w:r>
        <w:t xml:space="preserve"> </w:t>
      </w:r>
      <w:r>
        <w:rPr>
          <w:i/>
          <w:iCs/>
        </w:rPr>
        <w:t xml:space="preserve">Ecological Applications</w:t>
      </w:r>
      <w:r>
        <w:t xml:space="preserve">, 8, 184-193.</w:t>
      </w:r>
      <w:r>
        <w:t xml:space="preserve"> </w:t>
      </w:r>
      <w:hyperlink r:id="rId69">
        <w:r>
          <w:rPr>
            <w:rStyle w:val="Hyperlink"/>
          </w:rPr>
          <w:t xml:space="preserve">https://doi.org/10.1890/1051-0761(1998)008[0184:ETMOES]2.0.CO;2</w:t>
        </w:r>
      </w:hyperlink>
    </w:p>
    <w:p>
      <w:pPr>
        <w:pStyle w:val="BodyText"/>
      </w:pPr>
      <w:r>
        <w:t xml:space="preserve">Kendall, B. E., and Fox, G. A. (2002) Variation among individuals and reduced demographic stochasticity.</w:t>
      </w:r>
      <w:r>
        <w:t xml:space="preserve"> </w:t>
      </w:r>
      <w:r>
        <w:rPr>
          <w:i/>
          <w:iCs/>
        </w:rPr>
        <w:t xml:space="preserve">Conservation Biology</w:t>
      </w:r>
      <w:r>
        <w:t xml:space="preserve">, 16, 109-116.</w:t>
      </w:r>
      <w:r>
        <w:t xml:space="preserve"> </w:t>
      </w:r>
      <w:hyperlink r:id="rId70">
        <w:r>
          <w:rPr>
            <w:rStyle w:val="Hyperlink"/>
          </w:rPr>
          <w:t xml:space="preserve">https://doi.org/10.1046/j.1523-1739.2002.00036.x</w:t>
        </w:r>
      </w:hyperlink>
    </w:p>
    <w:p>
      <w:pPr>
        <w:pStyle w:val="BodyText"/>
      </w:pPr>
      <w:r>
        <w:t xml:space="preserve">Kiviniemi, K. (2002) Population dynamics of</w:t>
      </w:r>
      <w:r>
        <w:t xml:space="preserve"> </w:t>
      </w:r>
      <w:r>
        <w:rPr>
          <w:i/>
          <w:iCs/>
        </w:rPr>
        <w:t xml:space="preserve">Agrimonia eupatoria</w:t>
      </w:r>
      <w:r>
        <w:t xml:space="preserve"> </w:t>
      </w:r>
      <w:r>
        <w:t xml:space="preserve">and</w:t>
      </w:r>
      <w:r>
        <w:t xml:space="preserve"> </w:t>
      </w:r>
      <w:r>
        <w:rPr>
          <w:i/>
          <w:iCs/>
        </w:rPr>
        <w:t xml:space="preserve">Geum rivale</w:t>
      </w:r>
      <w:r>
        <w:t xml:space="preserve">, two perennial grassland species.</w:t>
      </w:r>
      <w:r>
        <w:t xml:space="preserve"> </w:t>
      </w:r>
      <w:r>
        <w:rPr>
          <w:i/>
          <w:iCs/>
        </w:rPr>
        <w:t xml:space="preserve">Plant Ecology</w:t>
      </w:r>
      <w:r>
        <w:t xml:space="preserve">, 159, 153-169.</w:t>
      </w:r>
      <w:r>
        <w:t xml:space="preserve"> </w:t>
      </w:r>
      <w:hyperlink r:id="rId71">
        <w:r>
          <w:rPr>
            <w:rStyle w:val="Hyperlink"/>
          </w:rPr>
          <w:t xml:space="preserve">https://doi.org/10.1023/A:1015506019670</w:t>
        </w:r>
      </w:hyperlink>
    </w:p>
    <w:p>
      <w:pPr>
        <w:pStyle w:val="BodyText"/>
      </w:pPr>
      <w:r>
        <w:t xml:space="preserve">Lesica, P., and Crone, E. E. (2007) Causes and consequences of prolonged dormancy for an iteroparous geophyte,</w:t>
      </w:r>
      <w:r>
        <w:t xml:space="preserve"> </w:t>
      </w:r>
      <w:r>
        <w:rPr>
          <w:i/>
          <w:iCs/>
        </w:rPr>
        <w:t xml:space="preserve">Silene spaldingii</w:t>
      </w:r>
      <w:r>
        <w:t xml:space="preserve">.</w:t>
      </w:r>
      <w:r>
        <w:t xml:space="preserve"> </w:t>
      </w:r>
      <w:r>
        <w:rPr>
          <w:i/>
          <w:iCs/>
        </w:rPr>
        <w:t xml:space="preserve">Journal of Ecology</w:t>
      </w:r>
      <w:r>
        <w:t xml:space="preserve">, 95, 1360-1369.</w:t>
      </w:r>
      <w:r>
        <w:t xml:space="preserve"> </w:t>
      </w:r>
      <w:hyperlink r:id="rId72">
        <w:r>
          <w:rPr>
            <w:rStyle w:val="Hyperlink"/>
          </w:rPr>
          <w:t xml:space="preserve">https://doi.org/10.1111/j.1365-2745.2007.01291.x</w:t>
        </w:r>
      </w:hyperlink>
    </w:p>
    <w:p>
      <w:pPr>
        <w:pStyle w:val="BodyText"/>
      </w:pPr>
      <w:r>
        <w:t xml:space="preserve">McDonald, J. L., Franco, M., Townley, S., Ezard, T. H., Jelbert, K., and Hodgson, D. J. (2017) Divergent demographic strategies of plants in variable environments.</w:t>
      </w:r>
      <w:r>
        <w:t xml:space="preserve"> </w:t>
      </w:r>
      <w:r>
        <w:rPr>
          <w:i/>
          <w:iCs/>
        </w:rPr>
        <w:t xml:space="preserve">Nature Ecology &amp; Evolution</w:t>
      </w:r>
      <w:r>
        <w:t xml:space="preserve">, 1, 0029.</w:t>
      </w:r>
      <w:r>
        <w:t xml:space="preserve"> </w:t>
      </w:r>
      <w:hyperlink r:id="rId73">
        <w:r>
          <w:rPr>
            <w:rStyle w:val="Hyperlink"/>
          </w:rPr>
          <w:t xml:space="preserve">https://doi.org/10.1038/s41559-016-0029</w:t>
        </w:r>
      </w:hyperlink>
    </w:p>
    <w:p>
      <w:pPr>
        <w:pStyle w:val="BodyText"/>
      </w:pPr>
      <w:r>
        <w:t xml:space="preserve">McElreath, R. (2020) Statistical rethinking: A Bayesian course with examples in R and Stan, 2nd ed. Chapman and Hall/CRC.</w:t>
      </w:r>
      <w:r>
        <w:t xml:space="preserve"> </w:t>
      </w:r>
      <w:hyperlink r:id="rId74">
        <w:r>
          <w:rPr>
            <w:rStyle w:val="Hyperlink"/>
          </w:rPr>
          <w:t xml:space="preserve">https://doi.org/10.1201/9780429029608</w:t>
        </w:r>
      </w:hyperlink>
    </w:p>
    <w:p>
      <w:pPr>
        <w:pStyle w:val="BodyText"/>
      </w:pPr>
      <w:r>
        <w:t xml:space="preserve">McGowan, C. P., Runge, M. C., and Larson, M. A. (2011) Incorporating parametric uncertainty into population viability analysis models.</w:t>
      </w:r>
      <w:r>
        <w:t xml:space="preserve"> </w:t>
      </w:r>
      <w:r>
        <w:rPr>
          <w:i/>
          <w:iCs/>
        </w:rPr>
        <w:t xml:space="preserve">Biological Conservation</w:t>
      </w:r>
      <w:r>
        <w:t xml:space="preserve">, 144, 1400-1408.</w:t>
      </w:r>
      <w:r>
        <w:t xml:space="preserve"> </w:t>
      </w:r>
      <w:hyperlink r:id="rId75">
        <w:r>
          <w:rPr>
            <w:rStyle w:val="Hyperlink"/>
          </w:rPr>
          <w:t xml:space="preserve">https://doi.org/10.1016/j.biocon.2011.01.005</w:t>
        </w:r>
      </w:hyperlink>
    </w:p>
    <w:p>
      <w:pPr>
        <w:pStyle w:val="BodyText"/>
      </w:pPr>
      <w:r>
        <w:t xml:space="preserve">Myhrvold, N. P., Baldridge, E., Chan, B., Sivam, D., Freeman, D. L., and Ernest, S. M. (2015) An amniote life-history database to perform comparative analyses with birds, mammals, and reptiles.</w:t>
      </w:r>
      <w:r>
        <w:t xml:space="preserve"> </w:t>
      </w:r>
      <w:r>
        <w:rPr>
          <w:i/>
          <w:iCs/>
        </w:rPr>
        <w:t xml:space="preserve">Ecology</w:t>
      </w:r>
      <w:r>
        <w:t xml:space="preserve">, 96, 3109-3109.</w:t>
      </w:r>
      <w:r>
        <w:t xml:space="preserve"> </w:t>
      </w:r>
      <w:hyperlink r:id="rId76">
        <w:r>
          <w:rPr>
            <w:rStyle w:val="Hyperlink"/>
          </w:rPr>
          <w:t xml:space="preserve">https://doi.org/10.1890/15-0846R.1</w:t>
        </w:r>
      </w:hyperlink>
    </w:p>
    <w:p>
      <w:pPr>
        <w:pStyle w:val="BodyText"/>
      </w:pPr>
      <w:r>
        <w:t xml:space="preserve">PRISM Group, Oregon State University (2026) PRISM Climate Data.</w:t>
      </w:r>
      <w:r>
        <w:t xml:space="preserve"> </w:t>
      </w:r>
      <w:hyperlink r:id="rId77">
        <w:r>
          <w:rPr>
            <w:rStyle w:val="Hyperlink"/>
          </w:rPr>
          <w:t xml:space="preserve">https://prism.oregonstate.edu</w:t>
        </w:r>
      </w:hyperlink>
      <w:r>
        <w:t xml:space="preserve">. Data created 04 Feb 2026, accessed 28 Feb 2026.</w:t>
      </w:r>
    </w:p>
    <w:p>
      <w:pPr>
        <w:pStyle w:val="BodyText"/>
      </w:pPr>
      <w:r>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w:t>
      </w:r>
      <w:r>
        <w:t xml:space="preserve"> </w:t>
      </w:r>
      <w:r>
        <w:rPr>
          <w:i/>
          <w:iCs/>
        </w:rPr>
        <w:t xml:space="preserve">Journal of Ecology</w:t>
      </w:r>
      <w:r>
        <w:t xml:space="preserve">, 103, 202-218.</w:t>
      </w:r>
      <w:r>
        <w:t xml:space="preserve"> </w:t>
      </w:r>
      <w:hyperlink r:id="rId78">
        <w:r>
          <w:rPr>
            <w:rStyle w:val="Hyperlink"/>
          </w:rPr>
          <w:t xml:space="preserve">https://doi.org/10.1111/1365-2745.12334</w:t>
        </w:r>
      </w:hyperlink>
    </w:p>
    <w:p>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w:t>
      </w:r>
      <w:r>
        <w:t xml:space="preserve"> </w:t>
      </w:r>
      <w:r>
        <w:rPr>
          <w:i/>
          <w:iCs/>
        </w:rPr>
        <w:t xml:space="preserve">Journal of Animal Ecology</w:t>
      </w:r>
      <w:r>
        <w:t xml:space="preserve">, 85, 371-384.</w:t>
      </w:r>
      <w:r>
        <w:t xml:space="preserve"> </w:t>
      </w:r>
      <w:hyperlink r:id="rId79">
        <w:r>
          <w:rPr>
            <w:rStyle w:val="Hyperlink"/>
          </w:rPr>
          <w:t xml:space="preserve">https://doi.org/10.1111/1365-2656.12482</w:t>
        </w:r>
      </w:hyperlink>
    </w:p>
    <w:p>
      <w:pPr>
        <w:pStyle w:val="BodyText"/>
      </w:pPr>
      <w:r>
        <w:t xml:space="preserve">Salguero-Gómez, R., Jones, O. R., Jongejans, E., Blomberg, S. P., Hodgson, D. J., Mbeau-Ache, C., Zuidema, P. A., de Kroon, H., and Buckley, Y. M. (2016b) Fast–slow continuum and reproductive strategies structure plant life-history variation worldwide.</w:t>
      </w:r>
      <w:r>
        <w:t xml:space="preserve"> </w:t>
      </w:r>
      <w:r>
        <w:rPr>
          <w:i/>
          <w:iCs/>
        </w:rPr>
        <w:t xml:space="preserve">Proceedings of the National Academy of Sciences</w:t>
      </w:r>
      <w:r>
        <w:t xml:space="preserve">, 113, 230-235.</w:t>
      </w:r>
      <w:r>
        <w:t xml:space="preserve"> </w:t>
      </w:r>
      <w:hyperlink r:id="rId80">
        <w:r>
          <w:rPr>
            <w:rStyle w:val="Hyperlink"/>
          </w:rPr>
          <w:t xml:space="preserve">https://doi.org/10.1073/pnas.1506215112</w:t>
        </w:r>
      </w:hyperlink>
    </w:p>
    <w:p>
      <w:pPr>
        <w:pStyle w:val="BodyText"/>
      </w:pPr>
      <w:r>
        <w:t xml:space="preserve">Baudisch, A., and Stott, I. (2019) A pace and shape perspective on fertility.</w:t>
      </w:r>
      <w:r>
        <w:t xml:space="preserve"> </w:t>
      </w:r>
      <w:r>
        <w:rPr>
          <w:i/>
          <w:iCs/>
        </w:rPr>
        <w:t xml:space="preserve">Methods in Ecology and Evolution</w:t>
      </w:r>
      <w:r>
        <w:t xml:space="preserve">, 10, 1941-1951.</w:t>
      </w:r>
      <w:r>
        <w:t xml:space="preserve"> </w:t>
      </w:r>
      <w:hyperlink r:id="rId81">
        <w:r>
          <w:rPr>
            <w:rStyle w:val="Hyperlink"/>
          </w:rPr>
          <w:t xml:space="preserve">https://doi.org/10.1111/2041-210X.13289</w:t>
        </w:r>
      </w:hyperlink>
    </w:p>
    <w:p>
      <w:pPr>
        <w:pStyle w:val="BodyText"/>
      </w:pPr>
      <w:r>
        <w:t xml:space="preserve">Carpenter, B., Gelman, A., Hoffman, M. D., Lee, D., Goodrich, B., Betancourt, M., Brubaker, M., Guo, J., Li, P., and Riddell, A. (2017) Stan: A probabilistic programming language.</w:t>
      </w:r>
      <w:r>
        <w:t xml:space="preserve"> </w:t>
      </w:r>
      <w:r>
        <w:rPr>
          <w:i/>
          <w:iCs/>
        </w:rPr>
        <w:t xml:space="preserve">Journal of Statistical Software</w:t>
      </w:r>
      <w:r>
        <w:t xml:space="preserve">, 76, 1-32.</w:t>
      </w:r>
      <w:r>
        <w:t xml:space="preserve"> </w:t>
      </w:r>
      <w:hyperlink r:id="rId82">
        <w:r>
          <w:rPr>
            <w:rStyle w:val="Hyperlink"/>
          </w:rPr>
          <w:t xml:space="preserve">https://doi.org/10.18637/jss.v076.i01</w:t>
        </w:r>
      </w:hyperlink>
    </w:p>
    <w:p>
      <w:pPr>
        <w:pStyle w:val="BodyText"/>
      </w:pPr>
      <w:r>
        <w:t xml:space="preserve">Simmonds, E. G., and Jones, O. R. (2024) Uncertainty propagation in matrix population models: gaps, importance and guidelines.</w:t>
      </w:r>
      <w:r>
        <w:t xml:space="preserve"> </w:t>
      </w:r>
      <w:r>
        <w:rPr>
          <w:i/>
          <w:iCs/>
        </w:rPr>
        <w:t xml:space="preserve">Methods in Ecology and Evolution</w:t>
      </w:r>
      <w:r>
        <w:t xml:space="preserve">, 15, 427-438.</w:t>
      </w:r>
      <w:r>
        <w:t xml:space="preserve"> </w:t>
      </w:r>
      <w:hyperlink r:id="rId83">
        <w:r>
          <w:rPr>
            <w:rStyle w:val="Hyperlink"/>
          </w:rPr>
          <w:t xml:space="preserve">https://doi.org/10.1111/2041-210X.14276</w:t>
        </w:r>
      </w:hyperlink>
    </w:p>
    <w:p>
      <w:pPr>
        <w:pStyle w:val="BodyText"/>
      </w:pPr>
      <w:r>
        <w:t xml:space="preserve">Stan Development Team (2025) RStan: the R interface to Stan. R package version 2.32.7.</w:t>
      </w:r>
      <w:r>
        <w:t xml:space="preserve"> </w:t>
      </w:r>
      <w:hyperlink r:id="rId84">
        <w:r>
          <w:rPr>
            <w:rStyle w:val="Hyperlink"/>
          </w:rPr>
          <w:t xml:space="preserve">https://mc-stan.org/</w:t>
        </w:r>
      </w:hyperlink>
      <w:r>
        <w:t xml:space="preserve"> </w:t>
      </w:r>
      <w:hyperlink r:id="rId85">
        <w:r>
          <w:rPr>
            <w:rStyle w:val="Hyperlink"/>
          </w:rPr>
          <w:t xml:space="preserve">https://doi.org/10.32614/CRAN.package.rstan</w:t>
        </w:r>
      </w:hyperlink>
    </w:p>
    <w:p>
      <w:pPr>
        <w:pStyle w:val="BodyText"/>
      </w:pPr>
      <w:r>
        <w:t xml:space="preserve">Teller, B. J., Adler, P. B., Edwards, C. B., Hooker, G., and Ellner, S. P. (2016) Linking demography with drivers: climate and competition.</w:t>
      </w:r>
      <w:r>
        <w:t xml:space="preserve"> </w:t>
      </w:r>
      <w:r>
        <w:rPr>
          <w:i/>
          <w:iCs/>
        </w:rPr>
        <w:t xml:space="preserve">Methods in Ecology and Evolution</w:t>
      </w:r>
      <w:r>
        <w:t xml:space="preserve">, 7, 171-183.</w:t>
      </w:r>
      <w:r>
        <w:t xml:space="preserve"> </w:t>
      </w:r>
      <w:hyperlink r:id="rId86">
        <w:r>
          <w:rPr>
            <w:rStyle w:val="Hyperlink"/>
          </w:rPr>
          <w:t xml:space="preserve">https://doi.org/10.1111/2041-210X.12486</w:t>
        </w:r>
      </w:hyperlink>
    </w:p>
    <w:p>
      <w:pPr>
        <w:pStyle w:val="BodyText"/>
      </w:pPr>
      <w:r>
        <w:t xml:space="preserve">Wrycza, T. F., Missov, T. I., and Baudisch, A. (2015) Quantifying the shape of aging.</w:t>
      </w:r>
      <w:r>
        <w:t xml:space="preserve"> </w:t>
      </w:r>
      <w:r>
        <w:rPr>
          <w:i/>
          <w:iCs/>
        </w:rPr>
        <w:t xml:space="preserve">PLOS ONE</w:t>
      </w:r>
      <w:r>
        <w:t xml:space="preserve">, 10, e0119163.</w:t>
      </w:r>
      <w:r>
        <w:t xml:space="preserve"> </w:t>
      </w:r>
      <w:hyperlink r:id="rId87">
        <w:r>
          <w:rPr>
            <w:rStyle w:val="Hyperlink"/>
          </w:rPr>
          <w:t xml:space="preserve">https://doi.org/10.1371/journal.pone.0119163</w:t>
        </w:r>
      </w:hyperlink>
    </w:p>
    <w:p>
      <w:r>
        <w:br w:type="page"/>
      </w:r>
    </w:p>
    <w:bookmarkEnd w:id="88"/>
    <w:bookmarkStart w:id="90" w:name="tables"/>
    <w:p>
      <w:pPr>
        <w:pStyle w:val="Heading1"/>
      </w:pPr>
      <w:r>
        <w:t xml:space="preserve">Tables</w:t>
      </w:r>
    </w:p>
    <w:p>
      <w:pPr>
        <w:pStyle w:val="TableCaption"/>
      </w:pPr>
      <w:bookmarkStart w:id="89" w:name="tab:table-case1-var"/>
      <w:bookmarkEnd w:id="89"/>
      <w:r>
        <w:t xml:space="preserve">Table 1:</w:t>
      </w:r>
      <w:r>
        <w:t xml:space="preserve"> </w:t>
      </w:r>
      <w:r>
        <w:t xml:space="preserve">Sampling-to-other variance ratios for key demographic parameters in analysis 1, with 95% intervals from the variance-component model. Ratios greater than 1 indicate that variance attributable to transition-rate sampling uncertainty exceeds residual biological variance across population-level entries (including both among-population and among-species variation). This shows that the ratio is highest for shape, intermediate for life expectancy, and lowest for log population growth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31"/>
        <w:gridCol w:w="3272"/>
        <w:gridCol w:w="985"/>
        <w:gridCol w:w="1022"/>
        <w:gridCol w:w="1621"/>
      </w:tblGrid>
      <w:tr>
        <w:trPr>
          <w:trHeight w:val="62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Parameter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Sampling:other variance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low95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upp95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95% interval</w:t>
            </w:r>
          </w:p>
        </w:tc>
      </w:tr>
      <w:tr>
        <w:trPr>
          <w:trHeight w:val="619"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Shape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[2.26, 5.06]</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Life expectancy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[1.48, 2.55]</w:t>
            </w:r>
          </w:p>
        </w:tc>
      </w:tr>
      <w:tr>
        <w:trPr>
          <w:trHeight w:val="61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Log population growth 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 1.15]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Damping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 1.29]</w:t>
            </w:r>
          </w:p>
        </w:tc>
      </w:tr>
      <w:tr>
        <w:trPr>
          <w:trHeight w:val="61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Generation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 2.22]</w:t>
            </w:r>
          </w:p>
        </w:tc>
      </w:tr>
      <w:tr>
        <w:trPr>
          <w:trHeight w:val="61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Probability of reaching maturity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 2.59]</w:t>
            </w:r>
          </w:p>
        </w:tc>
      </w:tr>
    </w:tbl>
    <w:p>
      <w:r>
        <w:br w:type="page"/>
      </w:r>
    </w:p>
    <w:bookmarkEnd w:id="90"/>
    <w:bookmarkStart w:id="115" w:name="figures"/>
    <w:p>
      <w:pPr>
        <w:pStyle w:val="Heading1"/>
      </w:pPr>
      <w:r>
        <w:t xml:space="preserve">Figures</w:t>
      </w:r>
    </w:p>
    <w:p>
      <w:pPr>
        <w:pStyle w:val="CaptionedFigure"/>
      </w:pPr>
      <w:r>
        <w:drawing>
          <wp:inline>
            <wp:extent cx="5727700" cy="1908334"/>
            <wp:effectExtent b="0" l="0" r="0" t="0"/>
            <wp:docPr descr="Figure 1: Sampling distributions of transition rates for the focal single-MPM example (Agrimonia eupatoria,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 title="" id="92" name="Picture"/>
            <a:graphic>
              <a:graphicData uri="http://schemas.openxmlformats.org/drawingml/2006/picture">
                <pic:pic>
                  <pic:nvPicPr>
                    <pic:cNvPr descr="manuscript_main_files/b2aba0db56ecc9ec329c1fce4627fa03b466ca53.png" id="93" name="Picture"/>
                    <pic:cNvPicPr>
                      <a:picLocks noChangeArrowheads="1" noChangeAspect="1"/>
                    </pic:cNvPicPr>
                  </pic:nvPicPr>
                  <pic:blipFill>
                    <a:blip r:embed="rId91"/>
                    <a:stretch>
                      <a:fillRect/>
                    </a:stretch>
                  </pic:blipFill>
                  <pic:spPr bwMode="auto">
                    <a:xfrm>
                      <a:off x="0" y="0"/>
                      <a:ext cx="5727700" cy="1908334"/>
                    </a:xfrm>
                    <a:prstGeom prst="rect">
                      <a:avLst/>
                    </a:prstGeom>
                    <a:noFill/>
                    <a:ln w="9525">
                      <a:noFill/>
                      <a:headEnd/>
                      <a:tailEnd/>
                    </a:ln>
                  </pic:spPr>
                </pic:pic>
              </a:graphicData>
            </a:graphic>
          </wp:inline>
        </w:drawing>
      </w:r>
    </w:p>
    <w:p>
      <w:pPr>
        <w:pStyle w:val="ImageCaption"/>
      </w:pPr>
      <w:bookmarkStart w:id="94" w:name="fig:fig-main-1a"/>
      <w:bookmarkEnd w:id="94"/>
      <w:r>
        <w:t xml:space="preserve">Figure 1: Sampling distributions of transition rates for the focal single-MPM example (</w:t>
      </w:r>
      <w:r>
        <w:rPr>
          <w:i/>
          <w:iCs/>
        </w:rPr>
        <w:t xml:space="preserve">Agrimonia eupatoria</w:t>
      </w:r>
      <w:r>
        <w:t xml:space="preserve">,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w:t>
      </w:r>
    </w:p>
    <w:p>
      <w:r>
        <w:br w:type="page"/>
      </w:r>
    </w:p>
    <w:p>
      <w:pPr>
        <w:pStyle w:val="CaptionedFigure"/>
      </w:pPr>
      <w:r>
        <w:drawing>
          <wp:inline>
            <wp:extent cx="5727700" cy="2355769"/>
            <wp:effectExtent b="0" l="0" r="0" t="0"/>
            <wp:docPr descr="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 title="" id="96" name="Picture"/>
            <a:graphic>
              <a:graphicData uri="http://schemas.openxmlformats.org/drawingml/2006/picture">
                <pic:pic>
                  <pic:nvPicPr>
                    <pic:cNvPr descr="manuscript_main_files/0d4d790f4c43f8144c7f28ee99151a38ae6a0687.png" id="97" name="Picture"/>
                    <pic:cNvPicPr>
                      <a:picLocks noChangeArrowheads="1" noChangeAspect="1"/>
                    </pic:cNvPicPr>
                  </pic:nvPicPr>
                  <pic:blipFill>
                    <a:blip r:embed="rId95"/>
                    <a:stretch>
                      <a:fillRect/>
                    </a:stretch>
                  </pic:blipFill>
                  <pic:spPr bwMode="auto">
                    <a:xfrm>
                      <a:off x="0" y="0"/>
                      <a:ext cx="5727700" cy="2355769"/>
                    </a:xfrm>
                    <a:prstGeom prst="rect">
                      <a:avLst/>
                    </a:prstGeom>
                    <a:noFill/>
                    <a:ln w="9525">
                      <a:noFill/>
                      <a:headEnd/>
                      <a:tailEnd/>
                    </a:ln>
                  </pic:spPr>
                </pic:pic>
              </a:graphicData>
            </a:graphic>
          </wp:inline>
        </w:drawing>
      </w:r>
    </w:p>
    <w:p>
      <w:pPr>
        <w:pStyle w:val="ImageCaption"/>
      </w:pPr>
      <w:bookmarkStart w:id="98" w:name="fig:fig-main-1b"/>
      <w:bookmarkEnd w:id="98"/>
      <w:r>
        <w:t xml:space="preserve">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w:t>
      </w:r>
    </w:p>
    <w:p>
      <w:r>
        <w:br w:type="page"/>
      </w:r>
    </w:p>
    <w:p>
      <w:pPr>
        <w:pStyle w:val="CaptionedFigure"/>
      </w:pPr>
      <w:r>
        <w:drawing>
          <wp:inline>
            <wp:extent cx="3247802" cy="4440497"/>
            <wp:effectExtent b="0" l="0" r="0" t="0"/>
            <wp:docPr descr="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 title="" id="100" name="Picture"/>
            <a:graphic>
              <a:graphicData uri="http://schemas.openxmlformats.org/drawingml/2006/picture">
                <pic:pic>
                  <pic:nvPicPr>
                    <pic:cNvPr descr="manuscript_main_files/1d97de92535eeb793298a583ba95629e1012f164.png" id="101" name="Picture"/>
                    <pic:cNvPicPr>
                      <a:picLocks noChangeArrowheads="1" noChangeAspect="1"/>
                    </pic:cNvPicPr>
                  </pic:nvPicPr>
                  <pic:blipFill>
                    <a:blip r:embed="rId99"/>
                    <a:stretch>
                      <a:fillRect/>
                    </a:stretch>
                  </pic:blipFill>
                  <pic:spPr bwMode="auto">
                    <a:xfrm>
                      <a:off x="0" y="0"/>
                      <a:ext cx="3247802" cy="4440497"/>
                    </a:xfrm>
                    <a:prstGeom prst="rect">
                      <a:avLst/>
                    </a:prstGeom>
                    <a:noFill/>
                    <a:ln w="9525">
                      <a:noFill/>
                      <a:headEnd/>
                      <a:tailEnd/>
                    </a:ln>
                  </pic:spPr>
                </pic:pic>
              </a:graphicData>
            </a:graphic>
          </wp:inline>
        </w:drawing>
      </w:r>
    </w:p>
    <w:p>
      <w:pPr>
        <w:pStyle w:val="ImageCaption"/>
      </w:pPr>
      <w:bookmarkStart w:id="102" w:name="fig:fig-main-2"/>
      <w:bookmarkEnd w:id="102"/>
      <w:r>
        <w:t xml:space="preserve">Figure 3: Analysis 1 comparison of point estimates versus sampling-distribution summaries for population-level life expectancy and shape. Panel A shows mortality-trajectory shape, and panel B shows mature life expectancy (years). Purple points show estimates derived directly from the matrix point estimates, whereas green distributions show uncertainty-aware summaries from transition-rate sampling distributions. The figure shows systematic shifts and shrinkage in extreme values when sampling uncertainty is propagated.</w:t>
      </w:r>
    </w:p>
    <w:p>
      <w:r>
        <w:br w:type="page"/>
      </w:r>
    </w:p>
    <w:p>
      <w:pPr>
        <w:pStyle w:val="CaptionedFigure"/>
      </w:pPr>
      <w:r>
        <w:drawing>
          <wp:inline>
            <wp:extent cx="5727700" cy="2832853"/>
            <wp:effectExtent b="0" l="0" r="0" t="0"/>
            <wp:docPr descr="Figure 4: Accounting for sampling uncertainty strengthens support for a positive life expectancy-shape relationship by shrinking and shifting the population-level estimates that drive the regression.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 title="" id="104" name="Picture"/>
            <a:graphic>
              <a:graphicData uri="http://schemas.openxmlformats.org/drawingml/2006/picture">
                <pic:pic>
                  <pic:nvPicPr>
                    <pic:cNvPr descr="manuscript_main_files/b638022c2b68dfb6b3a563df4dbc7c40e1f69a4f.png" id="105" name="Picture"/>
                    <pic:cNvPicPr>
                      <a:picLocks noChangeArrowheads="1" noChangeAspect="1"/>
                    </pic:cNvPicPr>
                  </pic:nvPicPr>
                  <pic:blipFill>
                    <a:blip r:embed="rId103"/>
                    <a:stretch>
                      <a:fillRect/>
                    </a:stretch>
                  </pic:blipFill>
                  <pic:spPr bwMode="auto">
                    <a:xfrm>
                      <a:off x="0" y="0"/>
                      <a:ext cx="5727700" cy="2832853"/>
                    </a:xfrm>
                    <a:prstGeom prst="rect">
                      <a:avLst/>
                    </a:prstGeom>
                    <a:noFill/>
                    <a:ln w="9525">
                      <a:noFill/>
                      <a:headEnd/>
                      <a:tailEnd/>
                    </a:ln>
                  </pic:spPr>
                </pic:pic>
              </a:graphicData>
            </a:graphic>
          </wp:inline>
        </w:drawing>
      </w:r>
    </w:p>
    <w:p>
      <w:pPr>
        <w:pStyle w:val="ImageCaption"/>
      </w:pPr>
      <w:bookmarkStart w:id="106" w:name="fig:fig-main-3"/>
      <w:bookmarkEnd w:id="106"/>
      <w:r>
        <w:t xml:space="preserve">Figure 4: Accounting for sampling uncertainty strengthens support for a positive life expectancy-shape relationship by shrinking and shifting the population-level estimates that drive the regression. Analysis 1 relationship between life expectancy and shape under models with and without sampling uncertainty propagation. In panel A, purple points, line, and ribbon show the model using point estimates. Green crosses, line, and 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w:t>
      </w:r>
      <w:r>
        <w:t xml:space="preserve"> </w:t>
      </w:r>
      <w:r>
        <w:t xml:space="preserve">3</w:t>
      </w:r>
      <w:r>
        <w:t xml:space="preserve">. Axes are mature life expectancy (years, log scale) and mortality-trajectory shape. Panel B shows posterior densities for the slope parameter β (unit change in shape per unit change in log life expectancy), with purple for the point-estimate model and green for the uncertainty-aware model.</w:t>
      </w:r>
    </w:p>
    <w:p>
      <w:r>
        <w:br w:type="page"/>
      </w:r>
    </w:p>
    <w:p>
      <w:pPr>
        <w:pStyle w:val="CaptionedFigure"/>
      </w:pPr>
      <w:r>
        <w:drawing>
          <wp:inline>
            <wp:extent cx="3247802" cy="7043020"/>
            <wp:effectExtent b="0" l="0" r="0" t="0"/>
            <wp:docPr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Open circles in panel C are descriptive markers without interval bars for non-estimable stages: stage 1 shows mean survival across years, and stage 4 shows survival = 1 (100% survival in all usable years)." title="" id="108" name="Picture"/>
            <a:graphic>
              <a:graphicData uri="http://schemas.openxmlformats.org/drawingml/2006/picture">
                <pic:pic>
                  <pic:nvPicPr>
                    <pic:cNvPr descr="manuscript_main_files/4d6e73f8b7e26648688ff56538b870046b569a71.png" id="109" name="Picture"/>
                    <pic:cNvPicPr>
                      <a:picLocks noChangeArrowheads="1" noChangeAspect="1"/>
                    </pic:cNvPicPr>
                  </pic:nvPicPr>
                  <pic:blipFill>
                    <a:blip r:embed="rId107"/>
                    <a:stretch>
                      <a:fillRect/>
                    </a:stretch>
                  </pic:blipFill>
                  <pic:spPr bwMode="auto">
                    <a:xfrm>
                      <a:off x="0" y="0"/>
                      <a:ext cx="3247802" cy="7043020"/>
                    </a:xfrm>
                    <a:prstGeom prst="rect">
                      <a:avLst/>
                    </a:prstGeom>
                    <a:noFill/>
                    <a:ln w="9525">
                      <a:noFill/>
                      <a:headEnd/>
                      <a:tailEnd/>
                    </a:ln>
                  </pic:spPr>
                </pic:pic>
              </a:graphicData>
            </a:graphic>
          </wp:inline>
        </w:drawing>
      </w:r>
    </w:p>
    <w:p>
      <w:pPr>
        <w:pStyle w:val="ImageCaption"/>
      </w:pPr>
      <w:bookmarkStart w:id="110" w:name="fig:fig-main-4"/>
      <w:bookmarkEnd w:id="110"/>
      <w:r>
        <w:t xml:space="preserve">Figure 5: Analysis 2 climate effects on recruitment and stage-specific survival in</w:t>
      </w:r>
      <w:r>
        <w:t xml:space="preserve"> </w:t>
      </w:r>
      <w:r>
        <w:rPr>
          <w:i/>
          <w:iCs/>
        </w:rPr>
        <w:t xml:space="preserve">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(β) where estimable (stages 2-3), again with purple for the point-estimate model and green for the uncertainty-aware model. Open circles in panel C are descriptive markers without interval bars for non-estimable stages: stage 1 shows mean survival across years, and stage 4 shows survival = 1 (100% survival in all usable years).</w:t>
      </w:r>
    </w:p>
    <w:p>
      <w:r>
        <w:br w:type="page"/>
      </w:r>
    </w:p>
    <w:p>
      <w:pPr>
        <w:pStyle w:val="CaptionedFigure"/>
      </w:pPr>
      <w:r>
        <w:drawing>
          <wp:inline>
            <wp:extent cx="5727700" cy="4455476"/>
            <wp:effectExtent b="0" l="0" r="0" t="0"/>
            <wp:docPr descr="Figure 6: Simulation analysis of climate effects on fecundity, showing that accounting for sampling uncertainty improves interval performance while keeping bias low. The upper row shows bias, and the lower row shows 95% interval coverage, across four sample sizes and three true effect sizes (beta = 0.1, 0.3, and 0.5). The Gaussian point-estimate model (purple) becomes increasingly biased as the true effect grows. The Poisson point-estimate model (blue) is nearly unbiased but its intervals miss the true effect too often, especially at larger sample sizes. The uncertainty-aware Poisson model (green) keeps coverage close to the expected 95% level across the full design." title="" id="112" name="Picture"/>
            <a:graphic>
              <a:graphicData uri="http://schemas.openxmlformats.org/drawingml/2006/picture">
                <pic:pic>
                  <pic:nvPicPr>
                    <pic:cNvPr descr="manuscript_main_files/de5c323961f05beb78df7a05b26b0aa139ba5382.png" id="113" name="Picture"/>
                    <pic:cNvPicPr>
                      <a:picLocks noChangeArrowheads="1" noChangeAspect="1"/>
                    </pic:cNvPicPr>
                  </pic:nvPicPr>
                  <pic:blipFill>
                    <a:blip r:embed="rId111"/>
                    <a:stretch>
                      <a:fillRect/>
                    </a:stretch>
                  </pic:blipFill>
                  <pic:spPr bwMode="auto">
                    <a:xfrm>
                      <a:off x="0" y="0"/>
                      <a:ext cx="5727700" cy="4455476"/>
                    </a:xfrm>
                    <a:prstGeom prst="rect">
                      <a:avLst/>
                    </a:prstGeom>
                    <a:noFill/>
                    <a:ln w="9525">
                      <a:noFill/>
                      <a:headEnd/>
                      <a:tailEnd/>
                    </a:ln>
                  </pic:spPr>
                </pic:pic>
              </a:graphicData>
            </a:graphic>
          </wp:inline>
        </w:drawing>
      </w:r>
    </w:p>
    <w:p>
      <w:pPr>
        <w:pStyle w:val="ImageCaption"/>
      </w:pPr>
      <w:bookmarkStart w:id="114" w:name="fig:fig-main-5"/>
      <w:bookmarkEnd w:id="114"/>
      <w:r>
        <w:t xml:space="preserve">Figure 6: Simulation analysis of climate effects on fecundity, showing that accounting for sampling uncertainty improves interval performance while keeping bias low. The upper row shows bias, and the lower row shows 95% interval coverage, across four sample sizes and three true effect sizes (beta = 0.1, 0.3, and 0.5). The Gaussian point-estimate model (purple) becomes increasingly biased as the true effect grows. The Poisson point-estimate model (blue) is nearly unbiased but its intervals miss the true effect too often, especially at larger sample sizes. The uncertainty-aware Poisson model (green) keeps coverage close to the expected 95% level across the full design.</w:t>
      </w:r>
    </w:p>
    <w:bookmarkEnd w:id="115"/>
    <w:sectPr w:rsidR="00445ECF" w:rsidRPr="000A5324" w:rsidSect="001B4436">
      <w:footerReference r:id="rId7" w:type="even"/>
      <w:footerReference r:id="rId8" w:type="default"/>
      <w:footnotePr>
        <w:numRestart w:val="eachSect"/>
      </w:footnotePr>
      <w:pgSz w:h="16840" w:w="1190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490C19CE" w14:textId="64C9547D"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C03708"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E928B8B" w14:textId="3C8A6D49"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0EDF20" w14:textId="77777777" w:rsidR="001B4436" w:rsidRDefault="001B4436" w:rsidP="001B4436">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4AC19B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1047842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7"/>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862BD4"/>
    <w:rsid w:val="008D3315"/>
    <w:rsid w:val="00BC4829"/>
    <w:rsid w:val="00D521CD"/>
    <w:rsid w:val="00F73D1F"/>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93780"/>
    <w:pPr>
      <w:spacing w:line="480" w:lineRule="auto"/>
    </w:pPr>
    <w:rPr>
      <w:rFonts w:ascii="Garamond" w:eastAsiaTheme="minorEastAsia" w:hAnsi="Garamond"/>
    </w:rPr>
  </w:style>
  <w:style w:styleId="Heading1" w:type="paragraph">
    <w:name w:val="heading 1"/>
    <w:basedOn w:val="Normal"/>
    <w:next w:val="BodyText"/>
    <w:link w:val="Heading1Char"/>
    <w:uiPriority w:val="9"/>
    <w:qFormat/>
    <w:rsid w:val="00293780"/>
    <w:pPr>
      <w:keepNext/>
      <w:keepLines/>
      <w:spacing w:after="80" w:before="360"/>
      <w:outlineLvl w:val="0"/>
    </w:pPr>
    <w:rPr>
      <w:rFonts w:cstheme="majorBidi" w:eastAsiaTheme="majorEastAsia"/>
      <w:b/>
      <w:bCs/>
      <w:color w:themeColor="accent1" w:themeShade="BF" w:val="0F4761"/>
      <w:sz w:val="28"/>
      <w:szCs w:val="28"/>
    </w:rPr>
  </w:style>
  <w:style w:styleId="Heading2" w:type="paragraph">
    <w:name w:val="heading 2"/>
    <w:basedOn w:val="Normal"/>
    <w:next w:val="BodyText"/>
    <w:link w:val="Heading2Char"/>
    <w:uiPriority w:val="9"/>
    <w:unhideWhenUsed/>
    <w:qFormat/>
    <w:rsid w:val="00293780"/>
    <w:pPr>
      <w:keepNext/>
      <w:keepLines/>
      <w:spacing w:after="80" w:before="160"/>
      <w:outlineLvl w:val="1"/>
    </w:pPr>
    <w:rPr>
      <w:rFonts w:cstheme="majorBidi" w:eastAsiaTheme="majorEastAsia"/>
      <w:i/>
      <w:iCs/>
      <w:color w:themeColor="accent1" w:themeShade="BF" w:val="0F4761"/>
    </w:rPr>
  </w:style>
  <w:style w:styleId="Heading3" w:type="paragraph">
    <w:name w:val="heading 3"/>
    <w:basedOn w:val="Normal"/>
    <w:next w:val="BodyText"/>
    <w:link w:val="Heading3Char"/>
    <w:uiPriority w:val="9"/>
    <w:unhideWhenUsed/>
    <w:qFormat/>
    <w:rsid w:val="00293780"/>
    <w:pPr>
      <w:keepNext/>
      <w:keepLines/>
      <w:spacing w:after="80" w:before="160"/>
      <w:outlineLvl w:val="2"/>
    </w:pPr>
    <w:rPr>
      <w:rFonts w:cstheme="majorBidi" w:eastAsiaTheme="majorEastAsia"/>
      <w:i/>
      <w:iCs/>
      <w:color w:themeColor="accent1" w:themeShade="BF" w:val="0F4761"/>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93780"/>
    <w:pPr>
      <w:spacing w:after="180" w:before="180"/>
    </w:pPr>
  </w:style>
  <w:style w:customStyle="1" w:styleId="FirstParagraph" w:type="paragraph">
    <w:name w:val="First Paragraph"/>
    <w:basedOn w:val="BodyText"/>
    <w:next w:val="BodyText"/>
    <w:qFormat/>
    <w:rsid w:val="00293780"/>
  </w:style>
  <w:style w:customStyle="1" w:styleId="Compact" w:type="paragraph">
    <w:name w:val="Compact"/>
    <w:basedOn w:val="BodyText"/>
    <w:qFormat/>
    <w:rsid w:val="00293780"/>
    <w:pPr>
      <w:spacing w:after="36" w:before="36"/>
    </w:pPr>
  </w:style>
  <w:style w:styleId="Title" w:type="paragraph">
    <w:name w:val="Title"/>
    <w:basedOn w:val="Normal"/>
    <w:next w:val="BodyText"/>
    <w:link w:val="TitleChar"/>
    <w:uiPriority w:val="10"/>
    <w:qFormat/>
    <w:rsid w:val="00293780"/>
    <w:pPr>
      <w:spacing w:after="80" w:line="240" w:lineRule="auto"/>
      <w:contextualSpacing/>
      <w:jc w:val="center"/>
    </w:pPr>
    <w:rPr>
      <w:rFonts w:cstheme="majorBidi" w:eastAsiaTheme="majorEastAsia"/>
      <w:b/>
      <w:bCs/>
      <w:sz w:val="56"/>
      <w:szCs w:val="56"/>
    </w:rPr>
  </w:style>
  <w:style w:customStyle="1" w:styleId="TitleChar" w:type="character">
    <w:name w:val="Title Char"/>
    <w:basedOn w:val="DefaultParagraphFont"/>
    <w:link w:val="Title"/>
    <w:uiPriority w:val="10"/>
    <w:rsid w:val="00293780"/>
    <w:rPr>
      <w:rFonts w:ascii="Garamond" w:cstheme="majorBidi" w:eastAsiaTheme="majorEastAsia" w:hAnsi="Garamond"/>
      <w:b/>
      <w:bCs/>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033842"/>
    <w:pPr>
      <w:keepNext/>
      <w:keepLines/>
      <w:spacing w:before="600"/>
    </w:pPr>
    <w:rPr>
      <w:b w:val="0"/>
      <w:bCs w:val="0"/>
      <w:sz w:val="32"/>
      <w:szCs w:val="32"/>
    </w:rPr>
  </w:style>
  <w:style w:styleId="Date" w:type="paragraph">
    <w:name w:val="Date"/>
    <w:basedOn w:val="Title"/>
    <w:next w:val="BodyText"/>
    <w:qFormat/>
    <w:rsid w:val="00033842"/>
    <w:pPr>
      <w:keepNext/>
      <w:keepLines/>
      <w:spacing w:before="400"/>
    </w:pPr>
    <w:rPr>
      <w:b w:val="0"/>
      <w:bCs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033842"/>
    <w:pPr>
      <w:keepNext/>
      <w:keepLines/>
      <w:spacing w:after="300" w:before="100"/>
    </w:pPr>
  </w:style>
  <w:style w:styleId="Bibliography" w:type="paragraph">
    <w:name w:val="Bibliography"/>
    <w:basedOn w:val="Normal"/>
    <w:qFormat/>
  </w:style>
  <w:style w:customStyle="1" w:styleId="Heading1Char" w:type="character">
    <w:name w:val="Heading 1 Char"/>
    <w:basedOn w:val="DefaultParagraphFont"/>
    <w:link w:val="Heading1"/>
    <w:uiPriority w:val="9"/>
    <w:rsid w:val="00293780"/>
    <w:rPr>
      <w:rFonts w:ascii="Garamond" w:cstheme="majorBidi" w:eastAsiaTheme="majorEastAsia" w:hAnsi="Garamond"/>
      <w:b/>
      <w:bCs/>
      <w:color w:themeColor="accent1" w:themeShade="BF" w:val="0F4761"/>
      <w:sz w:val="28"/>
      <w:szCs w:val="28"/>
    </w:rPr>
  </w:style>
  <w:style w:customStyle="1" w:styleId="Heading2Char" w:type="character">
    <w:name w:val="Heading 2 Char"/>
    <w:basedOn w:val="DefaultParagraphFont"/>
    <w:link w:val="Heading2"/>
    <w:uiPriority w:val="9"/>
    <w:rsid w:val="00293780"/>
    <w:rPr>
      <w:rFonts w:ascii="Garamond" w:cstheme="majorBidi" w:eastAsiaTheme="majorEastAsia" w:hAnsi="Garamond"/>
      <w:i/>
      <w:iCs/>
      <w:color w:themeColor="accent1" w:themeShade="BF" w:val="0F4761"/>
    </w:rPr>
  </w:style>
  <w:style w:customStyle="1" w:styleId="Heading3Char" w:type="character">
    <w:name w:val="Heading 3 Char"/>
    <w:basedOn w:val="DefaultParagraphFont"/>
    <w:link w:val="Heading3"/>
    <w:uiPriority w:val="9"/>
    <w:rsid w:val="00293780"/>
    <w:rPr>
      <w:rFonts w:ascii="Garamond" w:cstheme="majorBidi" w:eastAsiaTheme="majorEastAsia" w:hAnsi="Garamond"/>
      <w:i/>
      <w:iCs/>
      <w:color w:themeColor="accent1" w:themeShade="BF" w:val="0F4761"/>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Footer" w:type="paragraph">
    <w:name w:val="footer"/>
    <w:basedOn w:val="Normal"/>
    <w:link w:val="FooterChar"/>
    <w:rsid w:val="001B4436"/>
    <w:pPr>
      <w:tabs>
        <w:tab w:pos="4680" w:val="center"/>
        <w:tab w:pos="9360" w:val="right"/>
      </w:tabs>
      <w:spacing w:after="0" w:line="240" w:lineRule="auto"/>
    </w:pPr>
  </w:style>
  <w:style w:customStyle="1" w:styleId="FooterChar" w:type="character">
    <w:name w:val="Footer Char"/>
    <w:basedOn w:val="DefaultParagraphFont"/>
    <w:link w:val="Footer"/>
    <w:rsid w:val="001B4436"/>
    <w:rPr>
      <w:rFonts w:ascii="Garamond" w:eastAsiaTheme="minorEastAsia" w:hAnsi="Garamond"/>
    </w:rPr>
  </w:style>
  <w:style w:styleId="PageNumber" w:type="character">
    <w:name w:val="page number"/>
    <w:basedOn w:val="DefaultParagraphFont"/>
    <w:rsid w:val="001B4436"/>
  </w:style>
  <w:style w:styleId="LineNumber" w:type="charact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95" Target="media/rId95.png" /><Relationship Type="http://schemas.openxmlformats.org/officeDocument/2006/relationships/image" Id="rId99" Target="media/rId99.png" /><Relationship Type="http://schemas.openxmlformats.org/officeDocument/2006/relationships/image" Id="rId107" Target="media/rId107.png" /><Relationship Type="http://schemas.openxmlformats.org/officeDocument/2006/relationships/image" Id="rId91" Target="media/rId91.png" /><Relationship Type="http://schemas.openxmlformats.org/officeDocument/2006/relationships/image" Id="rId103" Target="media/rId103.png" /><Relationship Type="http://schemas.openxmlformats.org/officeDocument/2006/relationships/image" Id="rId111" Target="media/rId111.png" /><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2/joc.1688" TargetMode="External" /><Relationship Type="http://schemas.openxmlformats.org/officeDocument/2006/relationships/hyperlink" Id="rId75" Target="https://doi.org/10.1016/j.biocon.2011.01.005" TargetMode="External" /><Relationship Type="http://schemas.openxmlformats.org/officeDocument/2006/relationships/hyperlink" Id="rId71" Target="https://doi.org/10.1023/A:1015506019670" TargetMode="External" /><Relationship Type="http://schemas.openxmlformats.org/officeDocument/2006/relationships/hyperlink" Id="rId68" Target="https://doi.org/10.1038/nature12789" TargetMode="External" /><Relationship Type="http://schemas.openxmlformats.org/officeDocument/2006/relationships/hyperlink" Id="rId73" Target="https://doi.org/10.1038/s41559-016-0029" TargetMode="External" /><Relationship Type="http://schemas.openxmlformats.org/officeDocument/2006/relationships/hyperlink" Id="rId62" Target="https://doi.org/10.1038/s41559-017-0316-2" TargetMode="External" /><Relationship Type="http://schemas.openxmlformats.org/officeDocument/2006/relationships/hyperlink" Id="rId65" Target="https://doi.org/10.1038/s41559-019-0938-7" TargetMode="External" /><Relationship Type="http://schemas.openxmlformats.org/officeDocument/2006/relationships/hyperlink" Id="rId70" Target="https://doi.org/10.1046/j.1523-1739.2002.00036.x" TargetMode="External" /><Relationship Type="http://schemas.openxmlformats.org/officeDocument/2006/relationships/hyperlink" Id="rId63" Target="https://doi.org/10.1073/pnas.1305018110" TargetMode="External" /><Relationship Type="http://schemas.openxmlformats.org/officeDocument/2006/relationships/hyperlink" Id="rId50" Target="https://doi.org/10.1073/pnas.1315179111" TargetMode="External" /><Relationship Type="http://schemas.openxmlformats.org/officeDocument/2006/relationships/hyperlink" Id="rId80" Target="https://doi.org/10.1073/pnas.1506215112" TargetMode="External" /><Relationship Type="http://schemas.openxmlformats.org/officeDocument/2006/relationships/hyperlink" Id="rId66" Target="https://doi.org/10.1086/589453" TargetMode="External" /><Relationship Type="http://schemas.openxmlformats.org/officeDocument/2006/relationships/hyperlink" Id="rId64" Target="https://doi.org/10.1098/rspb.2014.0298" TargetMode="External" /><Relationship Type="http://schemas.openxmlformats.org/officeDocument/2006/relationships/hyperlink" Id="rId61" Target="https://doi.org/10.1098/rstb.1996.0117" TargetMode="External" /><Relationship Type="http://schemas.openxmlformats.org/officeDocument/2006/relationships/hyperlink" Id="rId79" Target="https://doi.org/10.1111/1365-2656.12482" TargetMode="External" /><Relationship Type="http://schemas.openxmlformats.org/officeDocument/2006/relationships/hyperlink" Id="rId52" Target="https://doi.org/10.1111/1365-2745.12084" TargetMode="External" /><Relationship Type="http://schemas.openxmlformats.org/officeDocument/2006/relationships/hyperlink" Id="rId78" Target="https://doi.org/10.1111/1365-2745.12334" TargetMode="External" /><Relationship Type="http://schemas.openxmlformats.org/officeDocument/2006/relationships/hyperlink" Id="rId86" Target="https://doi.org/10.1111/2041-210X.12486" TargetMode="External" /><Relationship Type="http://schemas.openxmlformats.org/officeDocument/2006/relationships/hyperlink" Id="rId81" Target="https://doi.org/10.1111/2041-210X.13289" TargetMode="External" /><Relationship Type="http://schemas.openxmlformats.org/officeDocument/2006/relationships/hyperlink" Id="rId83" Target="https://doi.org/10.1111/2041-210X.14276" TargetMode="External" /><Relationship Type="http://schemas.openxmlformats.org/officeDocument/2006/relationships/hyperlink" Id="rId55" Target="https://doi.org/10.1111/ele.12691" TargetMode="External" /><Relationship Type="http://schemas.openxmlformats.org/officeDocument/2006/relationships/hyperlink" Id="rId57" Target="https://doi.org/10.1111/ele.12794" TargetMode="External" /><Relationship Type="http://schemas.openxmlformats.org/officeDocument/2006/relationships/hyperlink" Id="rId72" Target="https://doi.org/10.1111/j.1365-2745.2007.01291.x" TargetMode="External" /><Relationship Type="http://schemas.openxmlformats.org/officeDocument/2006/relationships/hyperlink" Id="rId59" Target="https://doi.org/10.1111/j.1420-9101.2009.01783.x" TargetMode="External" /><Relationship Type="http://schemas.openxmlformats.org/officeDocument/2006/relationships/hyperlink" Id="rId51" Target="https://doi.org/10.1111/j.2041-210X.2010.00087.x" TargetMode="External" /><Relationship Type="http://schemas.openxmlformats.org/officeDocument/2006/relationships/hyperlink" Id="rId74" Target="https://doi.org/10.1201/9780429029608" TargetMode="External" /><Relationship Type="http://schemas.openxmlformats.org/officeDocument/2006/relationships/hyperlink" Id="rId87" Target="https://doi.org/10.1371/journal.pone.0119163" TargetMode="External" /><Relationship Type="http://schemas.openxmlformats.org/officeDocument/2006/relationships/hyperlink" Id="rId53" Target="https://doi.org/10.1525/bio.2009.59.1.10" TargetMode="External" /><Relationship Type="http://schemas.openxmlformats.org/officeDocument/2006/relationships/hyperlink" Id="rId82" Target="https://doi.org/10.18637/jss.v076.i01" TargetMode="External" /><Relationship Type="http://schemas.openxmlformats.org/officeDocument/2006/relationships/hyperlink" Id="rId56" Target="https://doi.org/10.1890/03-0256" TargetMode="External" /><Relationship Type="http://schemas.openxmlformats.org/officeDocument/2006/relationships/hyperlink" Id="rId67" Target="https://doi.org/10.1890/08-1494.1" TargetMode="External" /><Relationship Type="http://schemas.openxmlformats.org/officeDocument/2006/relationships/hyperlink" Id="rId69" Target="https://doi.org/10.1890/1051-0761(1998)008%5B0184:ETMOES%5D2.0.CO;2" TargetMode="External" /><Relationship Type="http://schemas.openxmlformats.org/officeDocument/2006/relationships/hyperlink" Id="rId60" Target="https://doi.org/10.1890/11-1052.1" TargetMode="External" /><Relationship Type="http://schemas.openxmlformats.org/officeDocument/2006/relationships/hyperlink" Id="rId76" Target="https://doi.org/10.1890/15-0846R.1" TargetMode="External" /><Relationship Type="http://schemas.openxmlformats.org/officeDocument/2006/relationships/hyperlink" Id="rId54" Target="https://doi.org/10.2307/2937115" TargetMode="External" /><Relationship Type="http://schemas.openxmlformats.org/officeDocument/2006/relationships/hyperlink" Id="rId85" Target="https://doi.org/10.32614/CRAN.package.rstan" TargetMode="External" /><Relationship Type="http://schemas.openxmlformats.org/officeDocument/2006/relationships/hyperlink" Id="rId47" Target="https://doi.org/10.5281/zenodo.19474729" TargetMode="External" /><Relationship Type="http://schemas.openxmlformats.org/officeDocument/2006/relationships/hyperlink" Id="rId84" Target="https://mc-stan.org/" TargetMode="External" /><Relationship Type="http://schemas.openxmlformats.org/officeDocument/2006/relationships/hyperlink" Id="rId77" Target="https://prism.oregonstate.edu" TargetMode="External" /><Relationship Type="http://schemas.openxmlformats.org/officeDocument/2006/relationships/hyperlink" Id="rId19" Target="mailto:jones@biology.sdu.d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1830</Words>
  <Characters>10433</Characters>
  <Application>Microsoft Office Word</Application>
  <DocSecurity>0</DocSecurity>
  <Lines>86</Lines>
  <Paragraphs>24</Paragraphs>
  <ScaleCrop>false</ScaleCrop>
  <Company/>
  <LinksUpToDate>false</LinksUpToDate>
  <CharactersWithSpaces>12239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dcterms:created xsi:type="dcterms:W3CDTF">2026-08-14T13:16:06Z</dcterms:created>
  <dcterms:modified xsi:type="dcterms:W3CDTF">2026-08-14T13:16:06Z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