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35.png" ContentType="image/png"/>
  <Override PartName="/word/media/rId45.png" ContentType="image/png"/>
  <Override PartName="/word/media/rId49.png" ContentType="image/png"/>
  <Override PartName="/word/media/rId41.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Materials</w:t>
      </w:r>
    </w:p>
    <w:p>
      <w:pPr>
        <w:pStyle w:val="Subtitle"/>
      </w:pPr>
      <w:r>
        <w:t xml:space="preserve">When does sampling uncertainty matter in matrix population models? Evidence from published projection matrices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0" w:name="supplementary-methods"/>
    <w:p>
      <w:pPr>
        <w:pStyle w:val="Heading1"/>
      </w:pPr>
      <w:r>
        <w:t xml:space="preserve">Supplementary Methods</w:t>
      </w:r>
    </w:p>
    <w:bookmarkStart w:id="17" w:name="X8db80bf293cd88c959aa74ef5a7560efca860c5"/>
    <w:p>
      <w:pPr>
        <w:pStyle w:val="Heading2"/>
      </w:pPr>
      <w:r>
        <w:t xml:space="preserve">S1.1 Sampling-distribution workflow used for each MPM</w:t>
      </w:r>
    </w:p>
    <w:p>
      <w:pPr>
        <w:pStyle w:val="FirstParagraph"/>
      </w:pPr>
      <w:r>
        <w:t xml:space="preserve">For each focal matrix population model (MPM), we reconstructed transition-level sampling distributions from reported transition counts (or equivalent sample-size information). We then generated 2,000 parametric bootstrap draws per MPM by sampling each transition from its likelihood (multinomial for survival/growth/retrogression transitions and Poisson for recruitment transitions), rebuilding the full MPM for each draw, and recalculating each derived demographic quantity from that draw. We treated structural zeros (biologically impossible transitions) as fixed zeros in all draws, and treated sampling zeros (possible but unobserved transitions) as uncertain parameters under the same likelihood models used for non-zero transitions. When a recovered stage-specific sample size was zero, we retained the published point-estimate transition column unchanged in all bootstrap draws rather than treating it as structurally fixed at zero; this preserves the published matrix while acknowledging that no additional sampling variance can be propagated for that column.</w:t>
      </w:r>
    </w:p>
    <w:p>
      <w:pPr>
        <w:pStyle w:val="BodyText"/>
      </w:pPr>
      <w:r>
        <w:t xml:space="preserve">This produced a sampling distribution for each derived quantity used downstream (e.g. life expectancy, shape, log population growth rate). Point estimates in the manuscript correspond to values derived directly from the reported matrix entries; uncertainty-aware summaries correspond to moments of these bootstrap distributions.</w:t>
      </w:r>
    </w:p>
    <w:bookmarkEnd w:id="17"/>
    <w:bookmarkStart w:id="18" w:name="X1ae6718b170a93b0e1164c93ec09328879eb1f3"/>
    <w:p>
      <w:pPr>
        <w:pStyle w:val="Heading2"/>
      </w:pPr>
      <w:r>
        <w:t xml:space="preserve">S1.2 Age-from-stage derivation, truncation, and shape metric</w:t>
      </w:r>
    </w:p>
    <w:p>
      <w:pPr>
        <w:pStyle w:val="FirstParagraph"/>
      </w:pPr>
      <w:r>
        <w:t xml:space="preserve">Life expectancy and shape were derived from survivorship trajectories obtained using age-from-stage methods, starting from the first reproductive stage. Shape was calculated using the pace-shape framework metric (Baudisch and Stott 2019). Because stage-based survivorship can converge to an artefactual mortality plateau, shape was calculated on truncated trajectories up to quasi-stable convergence (distance threshold 1%).</w:t>
      </w:r>
    </w:p>
    <w:bookmarkEnd w:id="18"/>
    <w:bookmarkStart w:id="19" w:name="s1.3-pooled-and-mean-mpm-handling"/>
    <w:p>
      <w:pPr>
        <w:pStyle w:val="Heading2"/>
      </w:pPr>
      <w:r>
        <w:t xml:space="preserve">S1.3 Pooled and mean MPM handling</w:t>
      </w:r>
    </w:p>
    <w:p>
      <w:pPr>
        <w:pStyle w:val="FirstParagraph"/>
      </w:pPr>
      <w:r>
        <w:t xml:space="preserve">Analysis 1 used one population-level MPM per population. Where a pooled population MPM was available, it was used; otherwise, a mean population MPM was used; if neither was available, a population-level matrix was constructed as the element-wise mean of the available annual individual MPMs. When COMPADRE included both site-specific population rows and aggregate rows that combined multiple populations, only the site-specific population rows were retained, so that each population contributed a single analysis unit. For uncertainty propagation in pooled or mean matrices, stage-specific sample sizes were pooled across years before bootstrap simulation. This captures within-year sampling variation but does not fully represent between-year process variation, so the resulting uncertainty should be interpreted conservatively.</w:t>
      </w:r>
    </w:p>
    <w:bookmarkEnd w:id="19"/>
    <w:bookmarkStart w:id="20" w:name="X226a7ecea596d07eff13fc3b92f7de5fa9b4e5b"/>
    <w:p>
      <w:pPr>
        <w:pStyle w:val="Heading2"/>
      </w:pPr>
      <w:r>
        <w:t xml:space="preserve">S1.4 Bayesian model priors and fitting settings</w:t>
      </w:r>
    </w:p>
    <w:p>
      <w:pPr>
        <w:pStyle w:val="FirstParagraph"/>
      </w:pPr>
      <w:r>
        <w:t xml:space="preserve">Stan models and priors are defined in</w:t>
      </w:r>
      <w:r>
        <w:t xml:space="preserve"> </w:t>
      </w:r>
      <w:r>
        <w:rPr>
          <w:rStyle w:val="VerbatimChar"/>
        </w:rPr>
        <w:t xml:space="preserve">models/*.stan</w:t>
      </w:r>
      <w:r>
        <w:t xml:space="preserve">. For the two main analyses:</w:t>
      </w:r>
    </w:p>
    <w:p>
      <w:pPr>
        <w:pStyle w:val="Compact"/>
        <w:numPr>
          <w:ilvl w:val="0"/>
          <w:numId w:val="1001"/>
        </w:numPr>
      </w:pPr>
      <w:r>
        <w:t xml:space="preserve">Analysis 1 models use weakly informative normal priors for location/slope terms and normal priors for scale terms (see</w:t>
      </w:r>
      <w:r>
        <w:t xml:space="preserve"> </w:t>
      </w:r>
      <w:r>
        <w:rPr>
          <w:rStyle w:val="VerbatimChar"/>
        </w:rPr>
        <w:t xml:space="preserve">models/regress_hier.stan</w:t>
      </w:r>
      <w:r>
        <w:t xml:space="preserve"> </w:t>
      </w:r>
      <w:r>
        <w:t xml:space="preserve">and</w:t>
      </w:r>
      <w:r>
        <w:t xml:space="preserve"> </w:t>
      </w:r>
      <w:r>
        <w:rPr>
          <w:rStyle w:val="VerbatimChar"/>
        </w:rPr>
        <w:t xml:space="preserve">models/regress_hier_error.stan</w:t>
      </w:r>
      <w:r>
        <w:t xml:space="preserve">).</w:t>
      </w:r>
    </w:p>
    <w:p>
      <w:pPr>
        <w:pStyle w:val="Compact"/>
        <w:numPr>
          <w:ilvl w:val="0"/>
          <w:numId w:val="1001"/>
        </w:numPr>
      </w:pPr>
      <w:r>
        <w:t xml:space="preserve">Analysis 2 uses two models with Gaussian-process regression forms and normal priors on GP hyperparameters and coefficients (see</w:t>
      </w:r>
      <w:r>
        <w:t xml:space="preserve"> </w:t>
      </w:r>
      <w:r>
        <w:rPr>
          <w:rStyle w:val="VerbatimChar"/>
        </w:rPr>
        <w:t xml:space="preserve">models/movbeta_gprc.stan</w:t>
      </w:r>
      <w:r>
        <w:t xml:space="preserve"> </w:t>
      </w:r>
      <w:r>
        <w:t xml:space="preserve">and</w:t>
      </w:r>
      <w:r>
        <w:t xml:space="preserve"> </w:t>
      </w:r>
      <w:r>
        <w:rPr>
          <w:rStyle w:val="VerbatimChar"/>
        </w:rPr>
        <w:t xml:space="preserve">models/movbeta_gprc_err.stan</w:t>
      </w:r>
      <w:r>
        <w:t xml:space="preserve">).</w:t>
      </w:r>
    </w:p>
    <w:p>
      <w:pPr>
        <w:pStyle w:val="Compact"/>
        <w:numPr>
          <w:ilvl w:val="0"/>
          <w:numId w:val="1001"/>
        </w:numPr>
      </w:pPr>
      <w:r>
        <w:t xml:space="preserve">The multisite</w:t>
      </w:r>
      <w:r>
        <w:t xml:space="preserve"> </w:t>
      </w:r>
      <w:r>
        <w:rPr>
          <w:i/>
          <w:iCs/>
        </w:rPr>
        <w:t xml:space="preserve">Astragalus scaphoides</w:t>
      </w:r>
      <w:r>
        <w:t xml:space="preserve"> </w:t>
      </w:r>
      <w:r>
        <w:t xml:space="preserve">robustness analysis uses the same Gaussian-process recruitment model pair as analysis 2 (</w:t>
      </w:r>
      <w:r>
        <w:rPr>
          <w:rStyle w:val="VerbatimChar"/>
        </w:rPr>
        <w:t xml:space="preserve">models/movbeta_gprc.stan</w:t>
      </w:r>
      <w:r>
        <w:t xml:space="preserve"> </w:t>
      </w:r>
      <w:r>
        <w:t xml:space="preserve">and</w:t>
      </w:r>
      <w:r>
        <w:t xml:space="preserve"> </w:t>
      </w:r>
      <w:r>
        <w:rPr>
          <w:rStyle w:val="VerbatimChar"/>
        </w:rPr>
        <w:t xml:space="preserve">models/movbeta_gprc_err.stan</w:t>
      </w:r>
      <w:r>
        <w:t xml:space="preserve">) together with a simpler spring-temperature regression pair using weakly informative normal priors on regression coefficients and scale terms (</w:t>
      </w:r>
      <w:r>
        <w:rPr>
          <w:rStyle w:val="VerbatimChar"/>
        </w:rPr>
        <w:t xml:space="preserve">models/regress.stan</w:t>
      </w:r>
      <w:r>
        <w:t xml:space="preserve"> </w:t>
      </w:r>
      <w:r>
        <w:t xml:space="preserve">and</w:t>
      </w:r>
      <w:r>
        <w:t xml:space="preserve"> </w:t>
      </w:r>
      <w:r>
        <w:rPr>
          <w:rStyle w:val="VerbatimChar"/>
        </w:rPr>
        <w:t xml:space="preserve">models/regress_log_err.stan</w:t>
      </w:r>
      <w:r>
        <w:t xml:space="preserve">).</w:t>
      </w:r>
    </w:p>
    <w:p>
      <w:pPr>
        <w:pStyle w:val="FirstParagraph"/>
      </w:pPr>
      <w:r>
        <w:t xml:space="preserve">Fitting settings used in scripts:</w:t>
      </w:r>
    </w:p>
    <w:p>
      <w:pPr>
        <w:pStyle w:val="Compact"/>
        <w:numPr>
          <w:ilvl w:val="0"/>
          <w:numId w:val="1002"/>
        </w:numPr>
      </w:pPr>
      <w:r>
        <w:t xml:space="preserve">Analysis 1 (</w:t>
      </w:r>
      <w:r>
        <w:rPr>
          <w:rStyle w:val="VerbatimChar"/>
        </w:rPr>
        <w:t xml:space="preserve">scripts/S07_case_study_1_analysis.R</w:t>
      </w:r>
      <w:r>
        <w:t xml:space="preserve">):</w:t>
      </w:r>
      <w:r>
        <w:t xml:space="preserve"> </w:t>
      </w:r>
      <w:r>
        <w:rPr>
          <w:rStyle w:val="VerbatimChar"/>
        </w:rPr>
        <w:t xml:space="preserve">chains = 2</w:t>
      </w:r>
      <w:r>
        <w:t xml:space="preserve">,</w:t>
      </w:r>
      <w:r>
        <w:t xml:space="preserve"> </w:t>
      </w:r>
      <w:r>
        <w:rPr>
          <w:rStyle w:val="VerbatimChar"/>
        </w:rPr>
        <w:t xml:space="preserve">iter = 4000</w:t>
      </w:r>
      <w:r>
        <w:t xml:space="preserve">,</w:t>
      </w:r>
      <w:r>
        <w:t xml:space="preserve"> </w:t>
      </w:r>
      <w:r>
        <w:rPr>
          <w:rStyle w:val="VerbatimChar"/>
        </w:rPr>
        <w:t xml:space="preserve">warmup = 2000-3000</w:t>
      </w:r>
      <w:r>
        <w:t xml:space="preserve">,</w:t>
      </w:r>
      <w:r>
        <w:t xml:space="preserve"> </w:t>
      </w:r>
      <w:r>
        <w:rPr>
          <w:rStyle w:val="VerbatimChar"/>
        </w:rPr>
        <w:t xml:space="preserve">seed = 5654</w:t>
      </w:r>
      <w:r>
        <w:t xml:space="preserve">.</w:t>
      </w:r>
    </w:p>
    <w:p>
      <w:pPr>
        <w:pStyle w:val="Compact"/>
        <w:numPr>
          <w:ilvl w:val="0"/>
          <w:numId w:val="1002"/>
        </w:numPr>
      </w:pPr>
      <w:r>
        <w:t xml:space="preserve">Analysis 2 (</w:t>
      </w:r>
      <w:r>
        <w:rPr>
          <w:rStyle w:val="VerbatimChar"/>
        </w:rPr>
        <w:t xml:space="preserve">scripts/S12_case_study_2.R</w:t>
      </w:r>
      <w:r>
        <w:t xml:space="preserve">):</w:t>
      </w:r>
      <w:r>
        <w:t xml:space="preserve"> </w:t>
      </w:r>
      <w:r>
        <w:rPr>
          <w:rStyle w:val="VerbatimChar"/>
        </w:rPr>
        <w:t xml:space="preserve">iter = 5000</w:t>
      </w:r>
      <w:r>
        <w:t xml:space="preserve"> </w:t>
      </w:r>
      <w:r>
        <w:t xml:space="preserve">for key models,</w:t>
      </w:r>
      <w:r>
        <w:t xml:space="preserve"> </w:t>
      </w:r>
      <w:r>
        <w:rPr>
          <w:rStyle w:val="VerbatimChar"/>
        </w:rPr>
        <w:t xml:space="preserve">seed = 5654</w:t>
      </w:r>
      <w:r>
        <w:t xml:space="preserve">, with additional control settings for GP fits.</w:t>
      </w:r>
    </w:p>
    <w:p>
      <w:pPr>
        <w:pStyle w:val="Compact"/>
        <w:numPr>
          <w:ilvl w:val="0"/>
          <w:numId w:val="1002"/>
        </w:numPr>
      </w:pPr>
      <w:r>
        <w:t xml:space="preserve">Multisite</w:t>
      </w:r>
      <w:r>
        <w:t xml:space="preserve"> </w:t>
      </w:r>
      <w:r>
        <w:rPr>
          <w:i/>
          <w:iCs/>
        </w:rPr>
        <w:t xml:space="preserve">Astragalus scaphoides</w:t>
      </w:r>
      <w:r>
        <w:t xml:space="preserve"> </w:t>
      </w:r>
      <w:r>
        <w:t xml:space="preserve">robustness analysis (</w:t>
      </w:r>
      <w:r>
        <w:rPr>
          <w:rStyle w:val="VerbatimChar"/>
        </w:rPr>
        <w:t xml:space="preserve">scripts/S14_case_study_3_astragalus.R</w:t>
      </w:r>
      <w:r>
        <w:t xml:space="preserve">):</w:t>
      </w:r>
      <w:r>
        <w:t xml:space="preserve"> </w:t>
      </w:r>
      <w:r>
        <w:rPr>
          <w:rStyle w:val="VerbatimChar"/>
        </w:rPr>
        <w:t xml:space="preserve">iter = 5000</w:t>
      </w:r>
      <w:r>
        <w:t xml:space="preserve">,</w:t>
      </w:r>
      <w:r>
        <w:t xml:space="preserve"> </w:t>
      </w:r>
      <w:r>
        <w:rPr>
          <w:rStyle w:val="VerbatimChar"/>
        </w:rPr>
        <w:t xml:space="preserve">seed = 5654</w:t>
      </w:r>
      <w:r>
        <w:t xml:space="preserve">, using the same GP control settings as analysis 2 for recruitment models and matched regression settings for the simplified spring-temperature models.</w:t>
      </w:r>
    </w:p>
    <w:bookmarkEnd w:id="20"/>
    <w:bookmarkStart w:id="21" w:name="Xc13d16d5f8c0b49d14460c9210493b4c230fe11"/>
    <w:p>
      <w:pPr>
        <w:pStyle w:val="Heading2"/>
      </w:pPr>
      <w:r>
        <w:t xml:space="preserve">S1.5 Variance-component summary (sampling-to-other ratio)</w:t>
      </w:r>
    </w:p>
    <w:p>
      <w:pPr>
        <w:pStyle w:val="FirstParagraph"/>
      </w:pPr>
      <w:r>
        <w:t xml:space="preserve">For each parameter, the total observed variance was partitioned into:</w:t>
      </w:r>
    </w:p>
    <w:p>
      <w:pPr>
        <w:pStyle w:val="Compact"/>
        <w:numPr>
          <w:ilvl w:val="0"/>
          <w:numId w:val="1003"/>
        </w:numPr>
      </w:pPr>
      <w:r>
        <w:t xml:space="preserve">sampling component: mean within-MPM sampling variance from bootstrap draws;</w:t>
      </w:r>
    </w:p>
    <w:p>
      <w:pPr>
        <w:pStyle w:val="Compact"/>
        <w:numPr>
          <w:ilvl w:val="0"/>
          <w:numId w:val="1003"/>
        </w:numPr>
      </w:pPr>
      <w:r>
        <w:t xml:space="preserve">residual component: remaining variance among populations/species.</w:t>
      </w:r>
    </w:p>
    <w:p>
      <w:pPr>
        <w:pStyle w:val="FirstParagraph"/>
      </w:pPr>
      <w:r>
        <w:t xml:space="preserve">The reported summary is Eq. (1):</w:t>
      </w:r>
    </w:p>
    <w:p>
      <w:pPr>
        <w:pStyle w:val="BodyText"/>
      </w:pPr>
      <m:oMathPara>
        <m:oMathParaPr>
          <m:jc m:val="center"/>
        </m:oMathParaPr>
        <m:oMath>
          <m:r>
            <m:rPr>
              <m:nor/>
              <m:sty m:val="p"/>
            </m:rPr>
            <m:t>ratio</m:t>
          </m:r>
          <m:r>
            <m:rPr>
              <m:sty m:val="p"/>
            </m:rPr>
            <m:t>=</m:t>
          </m:r>
          <m:f>
            <m:fPr>
              <m:type m:val="bar"/>
            </m:fPr>
            <m:num>
              <m:sSub>
                <m:e>
                  <m:r>
                    <m:t>v</m:t>
                  </m:r>
                </m:e>
                <m:sub>
                  <m:r>
                    <m:rPr>
                      <m:nor/>
                      <m:sty m:val="p"/>
                    </m:rPr>
                    <m:t>sampling</m:t>
                  </m:r>
                </m:sub>
              </m:sSub>
            </m:num>
            <m:den>
              <m:sSub>
                <m:e>
                  <m:r>
                    <m:t>v</m:t>
                  </m:r>
                </m:e>
                <m:sub>
                  <m:r>
                    <m:rPr>
                      <m:nor/>
                      <m:sty m:val="p"/>
                    </m:rPr>
                    <m:t>residual</m:t>
                  </m:r>
                </m:sub>
              </m:sSub>
            </m:den>
          </m:f>
          <m:r>
            <m:t>  </m:t>
          </m:r>
          <m:r>
            <m:rPr>
              <m:sty m:val="p"/>
            </m:rPr>
            <m:t>(</m:t>
          </m:r>
          <m:r>
            <m:t>1</m:t>
          </m:r>
          <m:r>
            <m:rPr>
              <m:sty m:val="p"/>
            </m:rPr>
            <m:t>)</m:t>
          </m:r>
        </m:oMath>
      </m:oMathPara>
    </w:p>
    <w:p>
      <w:pPr>
        <w:pStyle w:val="FirstParagraph"/>
      </w:pPr>
      <w:r>
        <w:t xml:space="preserve">Ratios above 1 indicate that sampling uncertainty exceeds residual biological variation for that parameter.</w:t>
      </w:r>
    </w:p>
    <w:bookmarkEnd w:id="21"/>
    <w:bookmarkStart w:id="22" w:name="Xd7a7a8d66a1e6f263c81c5cc18647f0f4d19afb"/>
    <w:p>
      <w:pPr>
        <w:pStyle w:val="Heading2"/>
      </w:pPr>
      <w:r>
        <w:t xml:space="preserve">S1.6 Simplified spring-temperature model (analysis 2)</w:t>
      </w:r>
    </w:p>
    <w:p>
      <w:pPr>
        <w:pStyle w:val="FirstParagraph"/>
      </w:pPr>
      <w:r>
        <w:t xml:space="preserve">In addition to the monthly-lagged GP model, we fit a simplified spring summary model with mean spring temperature deviation as the predictor, under both point-estimate and uncertainty-aware formulations. The contrasts reported in the manuscript use posterior medians and 95% interval widths from these paired models.</w:t>
      </w:r>
    </w:p>
    <w:p>
      <w:pPr>
        <w:pStyle w:val="BodyText"/>
      </w:pPr>
      <w:r>
        <w:t xml:space="preserve">For the stage-specific survival panel in analysis 2 (Fig. 5C), we derived annual stage-specific survival as the column sums of the</w:t>
      </w:r>
      <w:r>
        <w:t xml:space="preserve"> </w:t>
      </w:r>
      <m:oMath>
        <m:r>
          <m:t>U</m:t>
        </m:r>
      </m:oMath>
      <w:r>
        <w:t xml:space="preserve"> </w:t>
      </w:r>
      <w:r>
        <w:t xml:space="preserve">matrix for each year and stage, then compared two logit-scale models per stage: (i) a stable-stage distribution (SSD)-weighted quasibinomial point-estimate model,</w:t>
      </w:r>
      <w:r>
        <w:t xml:space="preserve"> </w:t>
      </w:r>
      <m:oMath>
        <m:r>
          <m:rPr>
            <m:nor/>
            <m:scr m:val="monospace"/>
            <m:sty m:val="p"/>
          </m:rPr>
          <m:t>surv</m:t>
        </m:r>
        <m:r>
          <m:rPr>
            <m:sty m:val="p"/>
          </m:rPr>
          <m:t>∼</m:t>
        </m:r>
        <m:r>
          <m:rPr>
            <m:nor/>
            <m:scr m:val="monospace"/>
            <m:sty m:val="p"/>
          </m:rPr>
          <m:t>tmp</m:t>
        </m:r>
      </m:oMath>
      <w:r>
        <w:t xml:space="preserve">, where weights are the stable stage distribution from each annual</w:t>
      </w:r>
      <w:r>
        <w:t xml:space="preserve"> </w:t>
      </w:r>
      <m:oMath>
        <m:r>
          <m:t>U</m:t>
        </m:r>
      </m:oMath>
      <w:r>
        <w:t xml:space="preserve"> </w:t>
      </w:r>
      <w:r>
        <w:t xml:space="preserve">matrix; and (ii) a binomial count model,</w:t>
      </w:r>
      <w:r>
        <w:t xml:space="preserve"> </w:t>
      </w:r>
      <m:oMath>
        <m:r>
          <m:rPr>
            <m:nor/>
            <m:scr m:val="monospace"/>
            <m:sty m:val="p"/>
          </m:rPr>
          <m:t>cbind</m:t>
        </m:r>
        <m:r>
          <m:rPr>
            <m:sty m:val="p"/>
          </m:rPr>
          <m:t>(</m:t>
        </m:r>
        <m:sSub>
          <m:e>
            <m:r>
              <m:t>n</m:t>
            </m:r>
          </m:e>
          <m:sub>
            <m:r>
              <m:rPr>
                <m:nor/>
                <m:sty m:val="p"/>
              </m:rPr>
              <m:t>surv</m:t>
            </m:r>
          </m:sub>
        </m:sSub>
        <m:r>
          <m:rPr>
            <m:sty m:val="p"/>
          </m:rPr>
          <m:t>,</m:t>
        </m:r>
        <m:sSub>
          <m:e>
            <m:r>
              <m:t>n</m:t>
            </m:r>
          </m:e>
          <m:sub>
            <m:r>
              <m:rPr>
                <m:nor/>
                <m:sty m:val="p"/>
              </m:rPr>
              <m:t>fail</m:t>
            </m:r>
          </m:sub>
        </m:sSub>
        <m:r>
          <m:rPr>
            <m:sty m:val="p"/>
          </m:rPr>
          <m:t>)</m:t>
        </m:r>
        <m:r>
          <m:rPr>
            <m:sty m:val="p"/>
          </m:rPr>
          <m:t>∼</m:t>
        </m:r>
        <m:r>
          <m:rPr>
            <m:nor/>
            <m:scr m:val="monospace"/>
            <m:sty m:val="p"/>
          </m:rPr>
          <m:t>tmp</m:t>
        </m:r>
      </m:oMath>
      <w:r>
        <w:t xml:space="preserve">, where</w:t>
      </w:r>
      <w:r>
        <w:t xml:space="preserve"> </w:t>
      </w:r>
      <m:oMath>
        <m:sSub>
          <m:e>
            <m:r>
              <m:t>n</m:t>
            </m:r>
          </m:e>
          <m:sub>
            <m:r>
              <m:rPr>
                <m:nor/>
                <m:sty m:val="p"/>
              </m:rPr>
              <m:t>surv</m:t>
            </m:r>
          </m:sub>
        </m:sSub>
      </m:oMath>
      <w:r>
        <w:t xml:space="preserve"> </w:t>
      </w:r>
      <w:r>
        <w:t xml:space="preserve">and</w:t>
      </w:r>
      <w:r>
        <w:t xml:space="preserve"> </w:t>
      </w:r>
      <m:oMath>
        <m:sSub>
          <m:e>
            <m:r>
              <m:t>n</m:t>
            </m:r>
          </m:e>
          <m:sub>
            <m:r>
              <m:rPr>
                <m:nor/>
                <m:sty m:val="p"/>
              </m:rPr>
              <m:t>fail</m:t>
            </m:r>
          </m:sub>
        </m:sSub>
      </m:oMath>
      <w:r>
        <w:t xml:space="preserve"> </w:t>
      </w:r>
      <w:r>
        <w:t xml:space="preserve">are survived and non-survived counts implied by stage sample size and</w:t>
      </w:r>
      <w:r>
        <w:t xml:space="preserve"> </w:t>
      </w:r>
      <m:oMath>
        <m:r>
          <m:t>U</m:t>
        </m:r>
      </m:oMath>
      <w:r>
        <w:t xml:space="preserve">-column survival probability.</w:t>
      </w:r>
    </w:p>
    <w:bookmarkEnd w:id="22"/>
    <w:bookmarkStart w:id="23" w:name="Xabdd8963e3bf675488f85ec63330b0c7b06d635"/>
    <w:p>
      <w:pPr>
        <w:pStyle w:val="Heading2"/>
      </w:pPr>
      <w:r>
        <w:t xml:space="preserve">S1.7 Reporting recommendations for future MPM studies</w:t>
      </w:r>
    </w:p>
    <w:p>
      <w:pPr>
        <w:pStyle w:val="FirstParagraph"/>
      </w:pPr>
      <w:r>
        <w:t xml:space="preserve">To support uncertainty propagation in secondary analyses, primary studies should report (at a minimum):</w:t>
      </w:r>
    </w:p>
    <w:p>
      <w:pPr>
        <w:pStyle w:val="Compact"/>
        <w:numPr>
          <w:ilvl w:val="0"/>
          <w:numId w:val="1004"/>
        </w:numPr>
      </w:pPr>
      <w:r>
        <w:t xml:space="preserve">transition-level sample sizes for each matrix element (or reconstructable transition count tables);</w:t>
      </w:r>
    </w:p>
    <w:p>
      <w:pPr>
        <w:pStyle w:val="Compact"/>
        <w:numPr>
          <w:ilvl w:val="0"/>
          <w:numId w:val="1004"/>
        </w:numPr>
      </w:pPr>
      <w:r>
        <w:t xml:space="preserve">clear identification of pooled/mean matrices and pooling rules;</w:t>
      </w:r>
    </w:p>
    <w:p>
      <w:pPr>
        <w:pStyle w:val="Compact"/>
        <w:numPr>
          <w:ilvl w:val="0"/>
          <w:numId w:val="1004"/>
        </w:numPr>
      </w:pPr>
      <w:r>
        <w:t xml:space="preserve">uncertainty estimates on model-appropriate scales (e.g. linear predictor where relevant);</w:t>
      </w:r>
    </w:p>
    <w:p>
      <w:pPr>
        <w:pStyle w:val="Compact"/>
        <w:numPr>
          <w:ilvl w:val="0"/>
          <w:numId w:val="1004"/>
        </w:numPr>
      </w:pPr>
      <w:r>
        <w:t xml:space="preserve">explicit projection interval, stage definitions, and treatment filters used to derive published matrices.</w:t>
      </w:r>
    </w:p>
    <w:p>
      <w:pPr>
        <w:pStyle w:val="FirstParagraph"/>
      </w:pPr>
      <w:r>
        <w:t xml:space="preserve">These items are usually sufficient for parametric uncertainty reconstruction in compiled databases.</w:t>
      </w:r>
    </w:p>
    <w:bookmarkEnd w:id="23"/>
    <w:bookmarkStart w:id="24" w:name="X47703751242b127b4a1e2b5ffd15841293c0ccc"/>
    <w:p>
      <w:pPr>
        <w:pStyle w:val="Heading2"/>
      </w:pPr>
      <w:r>
        <w:t xml:space="preserve">S1.8 Included versus excluded studies in the current target-study screen</w:t>
      </w:r>
    </w:p>
    <w:p>
      <w:pPr>
        <w:pStyle w:val="FirstParagraph"/>
      </w:pPr>
      <w:r>
        <w:t xml:space="preserve">To assess whether the studies retained for uncertainty analysis differed systematically from those screened but not retained, we compared the 23 post-2010 studies in the final dataset that still fall within the current reproducible COMPADRE screen against the remaining 69 screened studies. For each study, we summarized mean matrix dimension, mean stage-specific survival (the average of</w:t>
      </w:r>
      <w:r>
        <w:t xml:space="preserve"> </w:t>
      </w:r>
      <m:oMath>
        <m:r>
          <m:t>U</m:t>
        </m:r>
      </m:oMath>
      <w:r>
        <w:t xml:space="preserve">-column survival probabilities across matrices), and the proportions of stage-specific survival estimates equal to 0, equal to 1, or at either boundary. Dominant life form was defined as the modal</w:t>
      </w:r>
      <w:r>
        <w:t xml:space="preserve"> </w:t>
      </w:r>
      <w:r>
        <w:rPr>
          <w:rStyle w:val="VerbatimChar"/>
        </w:rPr>
        <w:t xml:space="preserve">OrganismType</w:t>
      </w:r>
      <w:r>
        <w:t xml:space="preserve"> </w:t>
      </w:r>
      <w:r>
        <w:t xml:space="preserve">among a study’s matrices. Three additional post-2010 studies in the final dataset do not fall within the current screen under COMPADRE version 6.26.3.0 (created Mar_11_2026) (</w:t>
      </w:r>
      <w:r>
        <w:rPr>
          <w:i/>
          <w:iCs/>
        </w:rPr>
        <w:t xml:space="preserve">Paeonia officinalis</w:t>
      </w:r>
      <w:r>
        <w:t xml:space="preserve">,</w:t>
      </w:r>
      <w:r>
        <w:t xml:space="preserve"> </w:t>
      </w:r>
      <w:r>
        <w:rPr>
          <w:i/>
          <w:iCs/>
        </w:rPr>
        <w:t xml:space="preserve">Tillandsia butzii</w:t>
      </w:r>
      <w:r>
        <w:t xml:space="preserve">,</w:t>
      </w:r>
      <w:r>
        <w:t xml:space="preserve"> </w:t>
      </w:r>
      <w:r>
        <w:rPr>
          <w:i/>
          <w:iCs/>
        </w:rPr>
        <w:t xml:space="preserve">Lantana camara</w:t>
      </w:r>
      <w:r>
        <w:t xml:space="preserve">), and five further studies were pre-2010 additions; these eight studies were excluded from this screen-based comparison.</w:t>
      </w:r>
    </w:p>
    <w:bookmarkEnd w:id="24"/>
    <w:bookmarkStart w:id="25" w:name="Xa94d0151380c98c8f0742d728782bf95f083eb5"/>
    <w:p>
      <w:pPr>
        <w:pStyle w:val="Heading2"/>
      </w:pPr>
      <w:r>
        <w:t xml:space="preserve">S1.9 Study and species identities in analysis 1</w:t>
      </w:r>
    </w:p>
    <w:p>
      <w:pPr>
        <w:pStyle w:val="FirstParagraph"/>
      </w:pPr>
      <w:r>
        <w:t xml:space="preserve">Analysis 1 used a subset of the full compiled dataset: 68 population-level entries representing 25 species. Study-level and species-level identities (including COMPADRE</w:t>
      </w:r>
      <w:r>
        <w:t xml:space="preserve"> </w:t>
      </w:r>
      <w:r>
        <w:rPr>
          <w:rStyle w:val="VerbatimChar"/>
        </w:rPr>
        <w:t xml:space="preserve">SpeciesAuthor</w:t>
      </w:r>
      <w:r>
        <w:t xml:space="preserve"> </w:t>
      </w:r>
      <w:r>
        <w:t xml:space="preserve">labels) are provided in Table S6.</w:t>
      </w:r>
    </w:p>
    <w:bookmarkEnd w:id="25"/>
    <w:bookmarkStart w:id="26" w:name="Xe17a52e6c92e8ef1d01ed7772a11f9653dc0919"/>
    <w:p>
      <w:pPr>
        <w:pStyle w:val="Heading2"/>
      </w:pPr>
      <w:r>
        <w:t xml:space="preserve">S1.10 Multisite robustness extension of analysis 2 (</w:t>
      </w:r>
      <w:r>
        <w:rPr>
          <w:i/>
          <w:iCs/>
        </w:rPr>
        <w:t xml:space="preserve">Astragalus scaphoides</w:t>
      </w:r>
      <w:r>
        <w:t xml:space="preserve">)</w:t>
      </w:r>
    </w:p>
    <w:p>
      <w:pPr>
        <w:pStyle w:val="FirstParagraph"/>
      </w:pPr>
      <w:r>
        <w:t xml:space="preserve">To evaluate whether the analysis 2 conclusions generalised across populations, we repeated the same paired modelling framework for all available</w:t>
      </w:r>
      <w:r>
        <w:t xml:space="preserve"> </w:t>
      </w:r>
      <w:r>
        <w:rPr>
          <w:i/>
          <w:iCs/>
        </w:rPr>
        <w:t xml:space="preserve">Astragalus scaphoides</w:t>
      </w:r>
      <w:r>
        <w:t xml:space="preserve"> </w:t>
      </w:r>
      <w:r>
        <w:t xml:space="preserve">sites with sufficient annual coverage as a supplementary robustness analysis. For each site, we fit (i) a point-estimate model and (ii) a sampling-uncertainty model for recruitment-temperature relationships, using both the monthly-lag Gaussian-process specification and the simplified spring-temperature specification. We then compared posterior medians and 95% intervals between model formulations within site. This design isolates the contribution of uncertainty propagation while preserving site-specific ecological context.</w:t>
      </w:r>
    </w:p>
    <w:p>
      <w:pPr>
        <w:pStyle w:val="BodyText"/>
      </w:pPr>
      <w:r>
        <w:t xml:space="preserve">For stage-specific survival in this supplementary robustness analysis, we used the same matched pair as in analysis 2: an SSD-weighted quasibinomial point-estimate model (</w:t>
      </w:r>
      <m:oMath>
        <m:r>
          <m:rPr>
            <m:nor/>
            <m:scr m:val="monospace"/>
            <m:sty m:val="p"/>
          </m:rPr>
          <m:t>surv</m:t>
        </m:r>
        <m:r>
          <m:rPr>
            <m:sty m:val="p"/>
          </m:rPr>
          <m:t>∼</m:t>
        </m:r>
        <m:r>
          <m:rPr>
            <m:nor/>
            <m:scr m:val="monospace"/>
            <m:sty m:val="p"/>
          </m:rPr>
          <m:t>tmp</m:t>
        </m:r>
      </m:oMath>
      <w:r>
        <w:t xml:space="preserve">, weights from the stable stage distribution of each annual</w:t>
      </w:r>
      <w:r>
        <w:t xml:space="preserve"> </w:t>
      </w:r>
      <m:oMath>
        <m:r>
          <m:t>U</m:t>
        </m:r>
      </m:oMath>
      <w:r>
        <w:t xml:space="preserve"> </w:t>
      </w:r>
      <w:r>
        <w:t xml:space="preserve">matrix) and a binomial count model (</w:t>
      </w:r>
      <m:oMath>
        <m:r>
          <m:rPr>
            <m:nor/>
            <m:scr m:val="monospace"/>
            <m:sty m:val="p"/>
          </m:rPr>
          <m:t>cbind</m:t>
        </m:r>
        <m:r>
          <m:rPr>
            <m:sty m:val="p"/>
          </m:rPr>
          <m:t>(</m:t>
        </m:r>
        <m:sSub>
          <m:e>
            <m:r>
              <m:t>n</m:t>
            </m:r>
          </m:e>
          <m:sub>
            <m:r>
              <m:rPr>
                <m:nor/>
                <m:sty m:val="p"/>
              </m:rPr>
              <m:t>surv</m:t>
            </m:r>
          </m:sub>
        </m:sSub>
        <m:r>
          <m:rPr>
            <m:sty m:val="p"/>
          </m:rPr>
          <m:t>,</m:t>
        </m:r>
        <m:sSub>
          <m:e>
            <m:r>
              <m:t>n</m:t>
            </m:r>
          </m:e>
          <m:sub>
            <m:r>
              <m:rPr>
                <m:nor/>
                <m:sty m:val="p"/>
              </m:rPr>
              <m:t>fail</m:t>
            </m:r>
          </m:sub>
        </m:sSub>
        <m:r>
          <m:rPr>
            <m:sty m:val="p"/>
          </m:rPr>
          <m:t>)</m:t>
        </m:r>
        <m:r>
          <m:rPr>
            <m:sty m:val="p"/>
          </m:rPr>
          <m:t>∼</m:t>
        </m:r>
        <m:r>
          <m:rPr>
            <m:nor/>
            <m:scr m:val="monospace"/>
            <m:sty m:val="p"/>
          </m:rPr>
          <m:t>tmp</m:t>
        </m:r>
      </m:oMath>
      <w:r>
        <w:t xml:space="preserve">). This keeps the linear predictor and response scale aligned across formulations, differing only in whether survival is treated as a plug-in proportion or as counts with explicit sampling uncertainty.</w:t>
      </w:r>
    </w:p>
    <w:p>
      <w:pPr>
        <w:pStyle w:val="BodyText"/>
      </w:pPr>
      <w:r>
        <w:t xml:space="preserve">For sensitivity analyses intended to mimic database-only use (no access to true stage sample sizes), we re-fit stage-specific point-estimate models under two alternatives: (i) no weighting and (ii) SSD weighting derived from each annual</w:t>
      </w:r>
      <w:r>
        <w:t xml:space="preserve"> </w:t>
      </w:r>
      <m:oMath>
        <m:r>
          <m:t>U</m:t>
        </m:r>
      </m:oMath>
      <w:r>
        <w:t xml:space="preserve"> </w:t>
      </w:r>
      <w:r>
        <w:t xml:space="preserve">matrix.</w:t>
      </w:r>
    </w:p>
    <w:bookmarkEnd w:id="26"/>
    <w:bookmarkStart w:id="27" w:name="Xe9072593a476435e14aed5e55ee802bcf07fa9c"/>
    <w:p>
      <w:pPr>
        <w:pStyle w:val="Heading2"/>
      </w:pPr>
      <w:r>
        <w:t xml:space="preserve">S1.11 Boundary survival estimates and small stage-specific sample sizes in analysis 1</w:t>
      </w:r>
    </w:p>
    <w:p>
      <w:pPr>
        <w:pStyle w:val="FirstParagraph"/>
      </w:pPr>
      <w:r>
        <w:t xml:space="preserve">To assess whether the conditions most likely to distort point estimates were concentrated in particular parts of the analysis 1 dataset, we summarized the 68 population-level entries with recovered stage counts by COMPADRE</w:t>
      </w:r>
      <w:r>
        <w:t xml:space="preserve"> </w:t>
      </w:r>
      <w:r>
        <w:rPr>
          <w:rStyle w:val="VerbatimChar"/>
        </w:rPr>
        <w:t xml:space="preserve">OrganismType</w:t>
      </w:r>
      <w:r>
        <w:t xml:space="preserve"> </w:t>
      </w:r>
      <w:r>
        <w:t xml:space="preserve">(used here as the available life-form grouping) and by broad matrix-dimension class (3-5 versus 6+ stages). For each population-level matrix, we recorded whether any stage-specific survival estimate lay exactly on the boundary (0 or 1), whether any stage had</w:t>
      </w:r>
      <w:r>
        <w:t xml:space="preserve"> </w:t>
      </w:r>
      <m:oMath>
        <m:r>
          <m:t>N</m:t>
        </m:r>
        <m:r>
          <m:rPr>
            <m:sty m:val="p"/>
          </m:rPr>
          <m:t>&lt;</m:t>
        </m:r>
        <m:r>
          <m:t>20</m:t>
        </m:r>
      </m:oMath>
      <w:r>
        <w:t xml:space="preserve"> </w:t>
      </w:r>
      <w:r>
        <w:t xml:space="preserve">or</w:t>
      </w:r>
      <w:r>
        <w:t xml:space="preserve"> </w:t>
      </w:r>
      <m:oMath>
        <m:r>
          <m:t>N</m:t>
        </m:r>
        <m:r>
          <m:rPr>
            <m:sty m:val="p"/>
          </m:rPr>
          <m:t>&lt;</m:t>
        </m:r>
        <m:r>
          <m:t>50</m:t>
        </m:r>
      </m:oMath>
      <w:r>
        <w:t xml:space="preserve">, and the minimum stage-specific sample size. These summaries are descriptive and intended to identify where potentially fragile point estimates are concentrated in the analysed subset.</w:t>
      </w:r>
    </w:p>
    <w:bookmarkEnd w:id="27"/>
    <w:bookmarkStart w:id="28" w:name="Xbcc0c51d82b2bf49c697952fc977fc249429e0d"/>
    <w:p>
      <w:pPr>
        <w:pStyle w:val="Heading2"/>
      </w:pPr>
      <w:r>
        <w:t xml:space="preserve">S1.12 Displacement magnitude versus boundary survival structure</w:t>
      </w:r>
    </w:p>
    <w:p>
      <w:pPr>
        <w:pStyle w:val="FirstParagraph"/>
      </w:pPr>
      <w:r>
        <w:t xml:space="preserve">To quantify the mechanism behind point-estimate displacement in analysis 1, we compared each population-level point estimate to the median of its sampling distribution for mature life expectancy and shape. We defined displacement magnitude as the absolute difference between the point estimate and the sampling-distribution median; for life expectancy, this was calculated on the</w:t>
      </w:r>
      <w:r>
        <w:t xml:space="preserve"> </w:t>
      </w:r>
      <m:oMath>
        <m:sSub>
          <m:e>
            <m:r>
              <m:rPr>
                <m:sty m:val="p"/>
              </m:rPr>
              <m:t>log</m:t>
            </m:r>
          </m:e>
          <m:sub>
            <m:r>
              <m:t>10</m:t>
            </m:r>
          </m:sub>
        </m:sSub>
      </m:oMath>
      <w:r>
        <w:t xml:space="preserve"> </w:t>
      </w:r>
      <w:r>
        <w:t xml:space="preserve">scale to reflect multiplicative discrepancies. We then related displacement magnitude to two predictors derived from the same population-level matrix: (i) the number of stage-specific survival estimates at the boundary (0 or 1), and (ii) the proportion of observed individuals belonging to boundary-survival stages, calculated from the recovered stage-specific sample sizes. We summarized these relationships with simple linear regressions and visualized them with scatter plots and fitted lines.</w:t>
      </w:r>
    </w:p>
    <w:bookmarkEnd w:id="28"/>
    <w:bookmarkStart w:id="29" w:name="Xf7ef802071fd8b0eb2240598c3d62456b26e111"/>
    <w:p>
      <w:pPr>
        <w:pStyle w:val="Heading2"/>
      </w:pPr>
      <w:r>
        <w:t xml:space="preserve">S1.13 Sensitivity to the quasi-stable-distribution truncation threshold</w:t>
      </w:r>
    </w:p>
    <w:p>
      <w:pPr>
        <w:pStyle w:val="FirstParagraph"/>
      </w:pPr>
      <w:r>
        <w:t xml:space="preserve">To assess whether the shape metric was sensitive to the truncation rule used to avoid artefactual mortality plateaus, we repeated the analysis 1 shape calculation using quasi-stable-distribution convergence thresholds of 0.5% and 5%, alongside the 1% threshold used in the main analysis. For each population-level MPM that remained estimable under all three thresholds, we recalculated the point estimate of shape and the bootstrap sampling-distribution summary using the threshold-specific truncation age</w:t>
      </w:r>
      <w:r>
        <w:t xml:space="preserve"> </w:t>
      </w:r>
      <m:oMath>
        <m:r>
          <m:t>q</m:t>
        </m:r>
      </m:oMath>
      <w:r>
        <w:t xml:space="preserve">. We then compared the resulting shape estimates to the 1% baseline using pairwise correlations, absolute differences, sign changes around zero, and shifts in</w:t>
      </w:r>
      <w:r>
        <w:t xml:space="preserve"> </w:t>
      </w:r>
      <m:oMath>
        <m:r>
          <m:t>q</m:t>
        </m:r>
      </m:oMath>
      <w:r>
        <w:t xml:space="preserve">.</w:t>
      </w:r>
    </w:p>
    <w:bookmarkEnd w:id="29"/>
    <w:bookmarkEnd w:id="30"/>
    <w:bookmarkStart w:id="39" w:name="supplementary-results"/>
    <w:p>
      <w:pPr>
        <w:pStyle w:val="Heading1"/>
      </w:pPr>
      <w:r>
        <w:t xml:space="preserve">Supplementary Results</w:t>
      </w:r>
    </w:p>
    <w:bookmarkStart w:id="31" w:name="Xb9dbb5729d5192ad1efcc753c5a6a6c3d38d456"/>
    <w:p>
      <w:pPr>
        <w:pStyle w:val="Heading2"/>
      </w:pPr>
      <w:r>
        <w:t xml:space="preserve">S2.1 Sensitivity to point-estimate weighting choice</w:t>
      </w:r>
    </w:p>
    <w:p>
      <w:pPr>
        <w:pStyle w:val="FirstParagraph"/>
      </w:pPr>
      <w:r>
        <w:t xml:space="preserve">Across estimable stages in analysis 2, switching from no weighting to SSD weighting changed temperature-coefficient medians by at most 0.142 on the logit scale, with interval widths changing by -0.045 to 0.614 (Table S9).</w:t>
      </w:r>
    </w:p>
    <w:p>
      <w:pPr>
        <w:pStyle w:val="BodyText"/>
      </w:pPr>
      <w:r>
        <w:t xml:space="preserve">Across estimable site-stage combinations in the</w:t>
      </w:r>
      <w:r>
        <w:t xml:space="preserve"> </w:t>
      </w:r>
      <w:r>
        <w:rPr>
          <w:i/>
          <w:iCs/>
        </w:rPr>
        <w:t xml:space="preserve">Astragalus</w:t>
      </w:r>
      <w:r>
        <w:t xml:space="preserve"> </w:t>
      </w:r>
      <w:r>
        <w:t xml:space="preserve">robustness analysis, the corresponding maximum absolute median shift was 0.912, and interval-width differences ranged from -0.512 to 1.526 (Table S10). These sensitivity checks show how weighting assumptions alter point-estimate uncertainty when true stage sample sizes are unavailable.</w:t>
      </w:r>
    </w:p>
    <w:bookmarkEnd w:id="31"/>
    <w:bookmarkStart w:id="32" w:name="Xbaa2cca937d931f3cba9ff2d2cda76629e04fa8"/>
    <w:p>
      <w:pPr>
        <w:pStyle w:val="Heading2"/>
      </w:pPr>
      <w:r>
        <w:t xml:space="preserve">S2.2 Where do boundary estimates and small stage counts occur?</w:t>
      </w:r>
    </w:p>
    <w:p>
      <w:pPr>
        <w:pStyle w:val="FirstParagraph"/>
      </w:pPr>
      <w:r>
        <w:t xml:space="preserve">Among the 68 analysis 1 population-level entries with recovered stage counts, 42.6% contained at least one boundary survival estimate and 30.9% contained at least one stage estimated from fewer than 20 individuals. These conditions tended to co-occur: the population-level proportion of boundary survival estimates was positively correlated with the proportion of stages having</w:t>
      </w:r>
      <w:r>
        <w:t xml:space="preserve"> </w:t>
      </w:r>
      <m:oMath>
        <m:r>
          <m:t>N</m:t>
        </m:r>
        <m:r>
          <m:rPr>
            <m:sty m:val="p"/>
          </m:rPr>
          <m:t>&lt;</m:t>
        </m:r>
        <m:r>
          <m:t>20</m:t>
        </m:r>
      </m:oMath>
      <w:r>
        <w:t xml:space="preserve"> </w:t>
      </w:r>
      <w:r>
        <w:t xml:space="preserve">(</w:t>
      </w:r>
      <m:oMath>
        <m:r>
          <m:t>r</m:t>
        </m:r>
        <m:r>
          <m:rPr>
            <m:sty m:val="p"/>
          </m:rPr>
          <m:t>=</m:t>
        </m:r>
        <m:r>
          <m:t>0.35</m:t>
        </m:r>
      </m:oMath>
      <w:r>
        <w:t xml:space="preserve">).</w:t>
      </w:r>
    </w:p>
    <w:p>
      <w:pPr>
        <w:pStyle w:val="BodyText"/>
      </w:pPr>
      <w:r>
        <w:t xml:space="preserve">By life form, herbaceous perennials made up most of the analysed subset and showed the highest frequency among the well-represented categories, with 45.2830189% of entries containing at least one boundary survival estimate and 33.9622642% containing at least one stage with</w:t>
      </w:r>
      <w:r>
        <w:t xml:space="preserve"> </w:t>
      </w:r>
      <m:oMath>
        <m:r>
          <m:t>N</m:t>
        </m:r>
        <m:r>
          <m:rPr>
            <m:sty m:val="p"/>
          </m:rPr>
          <m:t>&lt;</m:t>
        </m:r>
        <m:r>
          <m:t>20</m:t>
        </m:r>
      </m:oMath>
      <w:r>
        <w:t xml:space="preserve">. Succulents showed lower corresponding values (22.2222222% and 22.2222222%, respectively). Woody life forms were too sparsely represented in the final subset for strong conclusions. By matrix dimension, both features were more common in 6+-stage matrices than in 3-5-stage matrices (61.1111111% versus 36% for any boundary estimate; 44.4444444% versus 26% for any stage with</w:t>
      </w:r>
      <w:r>
        <w:t xml:space="preserve"> </w:t>
      </w:r>
      <m:oMath>
        <m:r>
          <m:t>N</m:t>
        </m:r>
        <m:r>
          <m:rPr>
            <m:sty m:val="p"/>
          </m:rPr>
          <m:t>&lt;</m:t>
        </m:r>
        <m:r>
          <m:t>20</m:t>
        </m:r>
      </m:oMath>
      <w:r>
        <w:t xml:space="preserve">; Table S12).</w:t>
      </w:r>
    </w:p>
    <w:bookmarkEnd w:id="32"/>
    <w:bookmarkStart w:id="33" w:name="X7f9bc76663c4cdccea08220fb8b2fd536e0535e"/>
    <w:p>
      <w:pPr>
        <w:pStyle w:val="Heading2"/>
      </w:pPr>
      <w:r>
        <w:t xml:space="preserve">S2.3 Does displacement increase with boundary survival structure?</w:t>
      </w:r>
    </w:p>
    <w:p>
      <w:pPr>
        <w:pStyle w:val="FirstParagraph"/>
      </w:pPr>
      <w:r>
        <w:t xml:space="preserve">Displacement magnitude increased with both measures of boundary-survival structure (Figure S3; Table S13). For shape, the absolute difference between the point estimate and the sampling-distribution median increased with the number of boundary survival stages (slope = 0.010, 95% CI [0.005, 0.016]) and with the proportion of individuals in boundary-survival stages (slope = 0.093, 95% CI [0.043, 0.143]). For mature life expectancy, the same pattern was evident on the</w:t>
      </w:r>
      <w:r>
        <w:t xml:space="preserve"> </w:t>
      </w:r>
      <m:oMath>
        <m:sSub>
          <m:e>
            <m:r>
              <m:rPr>
                <m:sty m:val="p"/>
              </m:rPr>
              <m:t>log</m:t>
            </m:r>
          </m:e>
          <m:sub>
            <m:r>
              <m:t>10</m:t>
            </m:r>
          </m:sub>
        </m:sSub>
      </m:oMath>
      <w:r>
        <w:t xml:space="preserve"> </w:t>
      </w:r>
      <w:r>
        <w:t xml:space="preserve">scale (number of boundary stages: slope = 0.062, 95% CI [0.029, 0.095]; proportion of individuals in boundary-survival stages: slope = 0.672, 95% CI [0.370, 0.974]). The fitted models explained a modest but non-trivial share of the among-matrix variation in displacement magnitude (</w:t>
      </w:r>
      <m:oMath>
        <m:sSup>
          <m:e>
            <m:r>
              <m:t>R</m:t>
            </m:r>
          </m:e>
          <m:sup>
            <m:r>
              <m:t>2</m:t>
            </m:r>
          </m:sup>
        </m:sSup>
        <m:r>
          <m:rPr>
            <m:sty m:val="p"/>
          </m:rPr>
          <m:t>=</m:t>
        </m:r>
        <m:r>
          <m:t>0.176</m:t>
        </m:r>
        <m:r>
          <m:rPr>
            <m:sty m:val="p"/>
          </m:rPr>
          <m:t>−</m:t>
        </m:r>
        <m:r>
          <m:t>0.242</m:t>
        </m:r>
      </m:oMath>
      <w:r>
        <w:t xml:space="preserve">). These results support the proposed mechanism: matrices with more boundary-survival structure tend to show larger mismatches between point estimates and the centres of their sampling distributions.</w:t>
      </w:r>
    </w:p>
    <w:bookmarkEnd w:id="33"/>
    <w:bookmarkStart w:id="34" w:name="Xca36f9ff4093d12ff246540ac5a05db4c7bd517"/>
    <w:p>
      <w:pPr>
        <w:pStyle w:val="Heading2"/>
      </w:pPr>
      <w:r>
        <w:t xml:space="preserve">S2.4 How sensitive are shape estimates to the truncation threshold?</w:t>
      </w:r>
    </w:p>
    <w:p>
      <w:pPr>
        <w:pStyle w:val="FirstParagraph"/>
      </w:pPr>
      <w:r>
        <w:t xml:space="preserve">In the 65 population-level entries for which shape was estimable under all three thresholds, the shape metric was highly stable to the quasi-stable-distribution truncation rule (Table S14; Figure S4). Relative to the 1% threshold used in the main analysis, the 0.5% threshold changed point estimates by a median absolute amount of 0.002 and sampling-distribution medians by 0.001. The more permissive 5% threshold produced somewhat larger but still modest shifts (median absolute changes 0.004 and 0.003, respectively), with only 2 point estimates changing sign relative to the 1% baseline. Those sign changes occurred only for populations whose baseline shape estimates were already very close to zero. Overall, this sensitivity check indicates that the main qualitative results are not driven by the specific 1% truncation threshold.</w:t>
      </w:r>
    </w:p>
    <w:bookmarkEnd w:id="34"/>
    <w:bookmarkStart w:id="38" w:name="X0b01ca79d9e4593467360b1d50abe8ce91f2738"/>
    <w:p>
      <w:pPr>
        <w:pStyle w:val="Heading2"/>
      </w:pPr>
      <w:r>
        <w:t xml:space="preserve">S2.5 Multisite robustness analysis in</w:t>
      </w:r>
      <w:r>
        <w:t xml:space="preserve"> </w:t>
      </w:r>
      <w:r>
        <w:rPr>
          <w:i/>
          <w:iCs/>
        </w:rPr>
        <w:t xml:space="preserve">Astragalus scaphoides</w:t>
      </w:r>
    </w:p>
    <w:p>
      <w:pPr>
        <w:pStyle w:val="FirstParagraph"/>
      </w:pPr>
      <w:r>
        <w:t xml:space="preserve">Applying the analysis 2 framework to three</w:t>
      </w:r>
      <w:r>
        <w:t xml:space="preserve"> </w:t>
      </w:r>
      <w:r>
        <w:rPr>
          <w:i/>
          <w:iCs/>
        </w:rPr>
        <w:t xml:space="preserve">Astragalus scaphoides</w:t>
      </w:r>
      <w:r>
        <w:t xml:space="preserve"> </w:t>
      </w:r>
      <w:r>
        <w:t xml:space="preserve">populations yielded the same overall pattern: point-estimate and sampling-uncertainty models were closely aligned within site, while differences among sites were more pronounced than differences between model formulations (Figure S5). Across sites, we had 9-11 years of annual demographic records, with 8-10 years retained for model fitting after filtering (0-3 years excluded; Table S7).</w:t>
      </w:r>
    </w:p>
    <w:p>
      <w:pPr>
        <w:pStyle w:val="BodyText"/>
      </w:pPr>
      <w:r>
        <w:t xml:space="preserve">For spring-temperature models, posterior medians differed only slightly between formulations (maximum absolute within-site difference: 0.026 on the linear predictor scale), and 95% interval widths changed by only -5.3% to 4.7% across sites (Table S8). Monthly-lag coefficient profiles were likewise highly concordant between formulations, with within-site correlations of posterior medians ranging from 0.992 to 0.997 and a maximum lag-specific median difference of 0.042 (Figure S5). These results support the main-text conclusion from analysis 2 that climate-effect inference can be robust to transition-rate sampling uncertainty in this empirical setting.</w:t>
      </w:r>
    </w:p>
    <w:p>
      <w:pPr>
        <w:pStyle w:val="BodyText"/>
      </w:pPr>
      <w:r>
        <w:t xml:space="preserve">Figure S5. Multisite robustness analysis for</w:t>
      </w:r>
      <w:r>
        <w:t xml:space="preserve"> </w:t>
      </w:r>
      <w:r>
        <w:rPr>
          <w:i/>
          <w:iCs/>
        </w:rPr>
        <w:t xml:space="preserve">Astragalus scaphoides</w:t>
      </w:r>
      <w:r>
        <w:t xml:space="preserve">. Panels A (Haynes Creek), B (McDevitt Creek), and C (Sheep Corral Gulch) each show monthly-lag temperature coefficients, recruitment-temperature fits, and stage-specific survival-temperature coefficients for point-estimate (purple) and uncertainty-aware (green) formulations. Recruitment is seedlings per reproductive plant, and stage-specific survival coefficients are on the logit scale (β). Across sites, the two formulations remain closely aligned, showing that among-site ecological differences are larger than differences induced by uncertainty propagation.</w:t>
      </w:r>
    </w:p>
    <w:p>
      <w:pPr>
        <w:pStyle w:val="BodyText"/>
      </w:pPr>
      <w:r>
        <w:drawing>
          <wp:inline>
            <wp:extent cx="5727700" cy="4773682"/>
            <wp:effectExtent b="0" l="0" r="0" t="0"/>
            <wp:docPr descr="" title="" id="36" name="Picture"/>
            <a:graphic>
              <a:graphicData uri="http://schemas.openxmlformats.org/drawingml/2006/picture">
                <pic:pic>
                  <pic:nvPicPr>
                    <pic:cNvPr descr="manuscript_supplement_files/07961aeadb3b8be6075e27c19a217a966c209c17.png" id="37" name="Picture"/>
                    <pic:cNvPicPr>
                      <a:picLocks noChangeArrowheads="1" noChangeAspect="1"/>
                    </pic:cNvPicPr>
                  </pic:nvPicPr>
                  <pic:blipFill>
                    <a:blip r:embed="rId35"/>
                    <a:stretch>
                      <a:fillRect/>
                    </a:stretch>
                  </pic:blipFill>
                  <pic:spPr bwMode="auto">
                    <a:xfrm>
                      <a:off x="0" y="0"/>
                      <a:ext cx="5727700" cy="4773682"/>
                    </a:xfrm>
                    <a:prstGeom prst="rect">
                      <a:avLst/>
                    </a:prstGeom>
                    <a:noFill/>
                    <a:ln w="9525">
                      <a:noFill/>
                      <a:headEnd/>
                      <a:tailEnd/>
                    </a:ln>
                  </pic:spPr>
                </pic:pic>
              </a:graphicData>
            </a:graphic>
          </wp:inline>
        </w:drawing>
      </w:r>
    </w:p>
    <w:bookmarkEnd w:id="38"/>
    <w:bookmarkEnd w:id="39"/>
    <w:bookmarkStart w:id="40" w:name="supplementary-tables"/>
    <w:p>
      <w:pPr>
        <w:pStyle w:val="Heading1"/>
      </w:pPr>
      <w:r>
        <w:t xml:space="preserve">Supplementary Tables</w:t>
      </w:r>
    </w:p>
    <w:p>
      <w:pPr>
        <w:pStyle w:val="FirstParagraph"/>
      </w:pPr>
      <w:r>
        <w:t xml:space="preserve">Table S1. Single-MPM derived-parameter summary for the focal</w:t>
      </w:r>
      <w:r>
        <w:t xml:space="preserve"> </w:t>
      </w:r>
      <w:r>
        <w:rPr>
          <w:i/>
          <w:iCs/>
        </w:rPr>
        <w:t xml:space="preserve">Agrimonia eupatoria</w:t>
      </w:r>
      <w:r>
        <w:t xml:space="preserve"> </w:t>
      </w:r>
      <w:r>
        <w:t xml:space="preserve">example. Reported values are point estimates and uncertainty intervals from parametric bootstrap sampling distributions, showing substantial uncertainty for several derived demographic quantities.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743"/>
        <w:gridCol w:w="1132"/>
        <w:gridCol w:w="1511"/>
        <w:gridCol w:w="1511"/>
        <w:gridCol w:w="1805"/>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w:t>
            </w:r>
          </w:p>
        </w:tc>
      </w:tr>
      <w:tr>
        <w:trPr>
          <w:trHeight w:val="62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 growth rate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λ</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0.956</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Damping ratio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ρ</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1.310</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Reproductive value (vegetative stage)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Elasticity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Generation time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T</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31.500</w:t>
            </w:r>
          </w:p>
        </w:tc>
      </w:tr>
      <w:tr>
        <w:trPr>
          <w:trHeight w:val="618"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bscript"/>
                <w:sz w:val="22"/>
                <w:szCs w:val="22"/>
                <w:color w:val="000000"/>
              </w:rPr>
              <w:t xml:space="preserve">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17.900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7.840</w:t>
            </w:r>
          </w:p>
        </w:tc>
      </w:tr>
    </w:tbl>
    <w:p>
      <w:r>
        <w:br w:type="page"/>
      </w:r>
    </w:p>
    <w:p>
      <w:pPr>
        <w:pStyle w:val="BodyText"/>
      </w:pPr>
      <w:r>
        <w:t xml:space="preserve">Table S2. Mean-MPM derived-parameter summary for the focal</w:t>
      </w:r>
      <w:r>
        <w:t xml:space="preserve"> </w:t>
      </w:r>
      <w:r>
        <w:rPr>
          <w:i/>
          <w:iCs/>
        </w:rPr>
        <w:t xml:space="preserve">Agrimonia eupatoria</w:t>
      </w:r>
      <w:r>
        <w:t xml:space="preserve"> </w:t>
      </w:r>
      <w:r>
        <w:t xml:space="preserve">example (population B). Point estimates are compared with sampling-distribution summaries to show how pooling/averaging changes central tendency and uncertainty relative to the single-MPM case.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743"/>
        <w:gridCol w:w="1132"/>
        <w:gridCol w:w="1511"/>
        <w:gridCol w:w="1511"/>
        <w:gridCol w:w="1805"/>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w:t>
            </w:r>
          </w:p>
        </w:tc>
      </w:tr>
      <w:tr>
        <w:trPr>
          <w:trHeight w:val="61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bscript"/>
                <w:sz w:val="22"/>
                <w:szCs w:val="22"/>
                <w:color w:val="000000"/>
              </w:rPr>
              <w:t xml:space="preserve">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1.930</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 growth rate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λ</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0.958</w:t>
            </w:r>
          </w:p>
        </w:tc>
      </w:tr>
      <w:tr>
        <w:trPr>
          <w:trHeight w:val="62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Damping ratio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ρ</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1.370</w:t>
            </w:r>
          </w:p>
        </w:tc>
      </w:tr>
    </w:tbl>
    <w:p>
      <w:r>
        <w:br w:type="page"/>
      </w:r>
    </w:p>
    <w:p>
      <w:pPr>
        <w:pStyle w:val="BodyText"/>
      </w:pPr>
      <w:r>
        <w:t xml:space="preserve">Table S3. Analysis 1 posterior summary for the slope parameter (β) in the life expectancy-shape model. The uncertainty-aware model shows greater posterior support for β &gt; 0 than the point-estimate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541"/>
        <w:gridCol w:w="1622"/>
        <w:gridCol w:w="1511"/>
        <w:gridCol w:w="1511"/>
        <w:gridCol w:w="1505"/>
      </w:tblGrid>
      <w:tr>
        <w:trPr>
          <w:trHeight w:val="61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beta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P(beta &gt; 0)</w:t>
            </w:r>
          </w:p>
        </w:tc>
      </w:tr>
      <w:tr>
        <w:trPr>
          <w:trHeight w:val="61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 using point estimates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0.146</w:t>
            </w:r>
          </w:p>
        </w:tc>
      </w:tr>
      <w:tr>
        <w:trPr>
          <w:trHeight w:val="618"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 with sampling uncertainty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0.770</w:t>
            </w:r>
          </w:p>
        </w:tc>
      </w:tr>
    </w:tbl>
    <w:p>
      <w:r>
        <w:br w:type="page"/>
      </w:r>
    </w:p>
    <w:p>
      <w:pPr>
        <w:pStyle w:val="BodyText"/>
      </w:pPr>
      <w:r>
        <w:t xml:space="preserve">Table S4. Analysis 2 Gaussian-process regression coefficients (monthly lags) for recruitment responses to temperature anomalies. Lag-specific posterior summaries are similar between point-estimate and uncertainty-aware model formulations.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78"/>
        <w:gridCol w:w="2465"/>
        <w:gridCol w:w="1622"/>
        <w:gridCol w:w="1511"/>
        <w:gridCol w:w="1511"/>
        <w:gridCol w:w="1095"/>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beta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lag_err</w:t>
            </w:r>
          </w:p>
        </w:tc>
      </w:tr>
      <w:tr>
        <w:trPr>
          <w:trHeight w:val="57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23.20</w:t>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24.20</w:t>
            </w:r>
          </w:p>
        </w:tc>
      </w:tr>
    </w:tbl>
    <w:p>
      <w:r>
        <w:br w:type="page"/>
      </w:r>
    </w:p>
    <w:p>
      <w:pPr>
        <w:pStyle w:val="BodyText"/>
      </w:pPr>
      <w:r>
        <w:t xml:space="preserve">Table S5. Analysis 2 posterior summary for the spring-temperature coefficient. Point-estimate and uncertainty-aware models yield similar medians and interval widths, indicating limited effect of uncertainty propagation on this coefficient.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65"/>
        <w:gridCol w:w="1132"/>
        <w:gridCol w:w="1511"/>
        <w:gridCol w:w="1511"/>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r>
      <w:tr>
        <w:trPr>
          <w:trHeight w:val="57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w:t>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2.33</w:t>
            </w:r>
          </w:p>
        </w:tc>
      </w:tr>
    </w:tbl>
    <w:p>
      <w:r>
        <w:br w:type="page"/>
      </w:r>
    </w:p>
    <w:p>
      <w:pPr>
        <w:pStyle w:val="BodyText"/>
      </w:pPr>
      <w:r>
        <w:t xml:space="preserve">Table S6. Primary studies represented in the analysis subset, as identified in COMPADRE. For matrix-level metadata and source-link details beyond this summary, refer to the COMPADRE database record for each study.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648"/>
        <w:gridCol w:w="1440"/>
        <w:gridCol w:w="1368"/>
        <w:gridCol w:w="3528"/>
      </w:tblGrid>
      <w:tr>
        <w:trPr>
          <w:trHeight w:val="619"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Authors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Journal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DOI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Species (COMPADRE label)</w:t>
            </w:r>
          </w:p>
        </w:tc>
      </w:tr>
      <w:tr>
        <w:trPr>
          <w:trHeight w:val="615"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Andrello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Dracocephalum_austriacum</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Dangremond; Knight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10.1890/09-0418.1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Lupinus_tidestromii</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Davison; Jacquemyn; Adriaens; Honnay; de Kroon; Tuljapurkar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10.1111/j.1365-2745.2009.01611.x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Anthyllis_vulneraria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Fortini; Zarin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Forest Ecol Manag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10.1016/j.foreco.2010.11.007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Callycophyllum_spruceanum; Carapa_guianensis; Licania_heteromorpha; Licaria_mahuba; Mora_paraensis; Platymiscium_filipes; Virola_surinamensis</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Gaoue; Ticktin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Conserv Biol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10.1111/j.1523-1739.2009.01345.x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Khaya_senegalensis</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Jacquemyns; Brys; Jongejans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10.1890/08-2321.1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Orchis_purpurea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Picard; Mortier; Chagneau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10.1016/j.ecolmodel.2010.06.010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Dicorynia_guianensis</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Sampaio; Scariot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Trop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10.1017/S0266467409990599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Geonoma_schottiana</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Sletvold; Øien; Moen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Biol Conserv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10.1016/j.biocon.2009.12.017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Dactylorhiza_lapponica</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Bullock; White; Prudhomme; Tansey; Perea; Hooftman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10.1111/j.1365-2745.2011.01910.x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Cirsium_acaule_2</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Che-Castaldo; Inouye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Ecosphere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10.1890/ES11-00263.1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Frasera_speciosa_2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Chen; Visser; Jongejans; van Breugel; Zuidema; Kassim; de Kroon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10.1111/j.1365-2745.2011.01825.x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Shorea_leprosula</w:t>
            </w:r>
          </w:p>
        </w:tc>
      </w:tr>
      <w:tr>
        <w:trPr>
          <w:trHeight w:val="62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Csergő; Molnár; García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Popul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10.1007/s10144-010-0249-y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Saponaria_bellidifolia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Dominguez Lozano; Moreno Saiz; Schwartz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Nat Conserv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10.1016/j.jnc.2011.05.005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Vella_pseudocytisus_subsp._paui_2</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Navarro; Galeano; Bernal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Trop Conserv Sci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10.1177/194008291100400104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Lepidocaryum_tenue</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Norghauer; Newbery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 Monogr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10.1890/10-2268.1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Microberlinia_bisulcata; Tetraberlinia_bifoliolata</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Thorpe; Stanley; Kayne; Latham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Cypripedium_fasciculatum</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Andrello; Bizoux; Barbet-Massin; Gaudeul; Nicolè; Till-Bottraud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Biol Conserv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10.1016/j.biocon.2011.12.012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Eryngium_alpinum</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Ellis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10.1890/11-1052.1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Liatris_scariosa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Ellis; Williams; Lesica; Bell; Bierzychudek; Bowles; Crone; Doak; Ehrlén; Ellis-Adam; McEachern; Ganesan; Latham; Luijten; Kaye; Knight; Menges; Morris; den Nijs; Oostermeijer; Quintana-Ascencio; Shelly; Stanley; Thorpe; Ticktin; Valverde; Weekley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10.1890/11-1052.1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Cirsium_pitcheri_4; Phyllanthus_emblica_3</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Groenendijk; Eshete; Sterck; Zuidema; Bongers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Appl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10.1111/j.1365-2664.2011.02078.x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Boswellia_papyrifera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Scanga; Leopold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Biol Conserv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10.1016/j.biocon.2012.01.061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Trollius_laxus</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Ticktin; Ganesan; Paramesha; Setty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Appl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10.1111/j.1365-2664.2012.02156.x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Phyllanthus_emblica_2; Phyllanthus_indofischeri</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Gornish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Pityopsis_aspera</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Matlaga; Davis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Appl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10.1111/1365-2664.12057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Miscanthus_giganteus</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Osunkoya; Perrett; Fernando; Clark; Raghu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Popul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10.1007/s10144-013-0364-7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Lantana_camara</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Villellas; Ehrlén; Olesen; Braza; García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Ecography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10.1111/j.1600-0587.2012.07425.x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Plantago_coronopus_2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Scanga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Plant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10.1007/s11258-014-0344-9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Trollius_laxus_2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Baldauf; Correa; Ferreira; Santos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Forest Ecol Manag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10.1016/j.foreco.2015.06.022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Himatanthus_drasticus</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Gibert; Magda; Hazard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PLOS 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10.1371/journal.pone.0139919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Festuca_eskia</w:t>
            </w:r>
          </w:p>
        </w:tc>
      </w:tr>
      <w:tr>
        <w:trPr>
          <w:trHeight w:val="62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Berry; Natalie L Cleavitt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Popul Ecol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10.1002/1438-390X.12092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Platanthera_macrophylla_; Platanthera_orbiculata_</w:t>
            </w:r>
          </w:p>
        </w:tc>
      </w:tr>
    </w:tbl>
    <w:p>
      <w:r>
        <w:br w:type="page"/>
      </w:r>
    </w:p>
    <w:p>
      <w:pPr>
        <w:pStyle w:val="BodyText"/>
      </w:pPr>
      <w:r>
        <w:t xml:space="preserve">Table S7. Multisite robustness-analysis site coverage and spring-temperature effect summaries for</w:t>
      </w:r>
      <w:r>
        <w:t xml:space="preserve"> </w:t>
      </w:r>
      <w:r>
        <w:rPr>
          <w:i/>
          <w:iCs/>
        </w:rPr>
        <w:t xml:space="preserve">Astragalus scaphoides</w:t>
      </w:r>
      <w:r>
        <w:t xml:space="preserve">. Point-estimate and sampling-uncertainty models give similar spring-temperature coefficients within each site, showing that between-site heterogeneity is larger than within-site method differences.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00"/>
        <w:gridCol w:w="864"/>
        <w:gridCol w:w="1080"/>
        <w:gridCol w:w="1008"/>
        <w:gridCol w:w="1296"/>
        <w:gridCol w:w="1368"/>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Years (total)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Years (modelled)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Years excluded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Spring beta (point)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Spring beta (sampling)</w:t>
            </w:r>
          </w:p>
        </w:tc>
      </w:tr>
      <w:tr>
        <w:trPr>
          <w:trHeight w:val="62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Haynes Creek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-0.441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-0.424</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0.258</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McDevitt Creek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-0.212</w:t>
            </w:r>
          </w:p>
        </w:tc>
      </w:tr>
    </w:tbl>
    <w:p>
      <w:r>
        <w:br w:type="page"/>
      </w:r>
    </w:p>
    <w:p>
      <w:pPr>
        <w:pStyle w:val="BodyText"/>
      </w:pPr>
      <w:r>
        <w:t xml:space="preserve">Table S8. Multisite robustness-analysis posterior summary for the spring-temperature coefficient by site and model formulation. Across all sites, 95% intervals overlap zero under both formulations, showing similar uncertainty conclusions with and without explicit sampling-uncertainty propagation.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43"/>
        <w:gridCol w:w="3138"/>
        <w:gridCol w:w="1132"/>
        <w:gridCol w:w="1511"/>
        <w:gridCol w:w="1511"/>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r>
      <w:tr>
        <w:trPr>
          <w:trHeight w:val="62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Point-estimate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0.899</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Sampling-uncertainty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0.872</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Point-estimate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Sampling-uncertainty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1.160</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Point-estimate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2.100</w:t>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Sampling-uncertainty model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2.080</w:t>
            </w:r>
          </w:p>
        </w:tc>
      </w:tr>
    </w:tbl>
    <w:p>
      <w:r>
        <w:br w:type="page"/>
      </w:r>
    </w:p>
    <w:p>
      <w:pPr>
        <w:pStyle w:val="BodyText"/>
      </w:pPr>
      <w:r>
        <w:t xml:space="preserve">Table S9. Analysis 2 stage-specific survival-temperature coefficients under two point-estimate weighting scenarios. “No weights” treats annual stage-specific survival proportions equally, whereas “SSD weights” applies stable-stage-distribution weights from the annual</w:t>
      </w:r>
      <w:r>
        <w:t xml:space="preserve"> </w:t>
      </w:r>
      <m:oMath>
        <m:r>
          <m:t>U</m:t>
        </m:r>
      </m:oMath>
      <w:r>
        <w:t xml:space="preserve"> </w:t>
      </w:r>
      <w:r>
        <w:t xml:space="preserve">matrix.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69"/>
        <w:gridCol w:w="1670"/>
        <w:gridCol w:w="1524"/>
        <w:gridCol w:w="1132"/>
        <w:gridCol w:w="1511"/>
        <w:gridCol w:w="1511"/>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Weighting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Years used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r>
      <w:tr>
        <w:trPr>
          <w:trHeight w:val="62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0.691</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0.856</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0.791</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0.708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bl>
    <w:p>
      <w:r>
        <w:br w:type="page"/>
      </w:r>
    </w:p>
    <w:p>
      <w:pPr>
        <w:pStyle w:val="BodyText"/>
      </w:pPr>
      <w:r>
        <w:t xml:space="preserve">Table S10. Multisite robustness-analysis stage-specific survival-temperature coefficients under two point-estimate weighting scenarios across sites. The comparison shows how coefficient estimates and interval widths change when no stage sample-size information is used and SSD weights are substituted.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43"/>
        <w:gridCol w:w="1169"/>
        <w:gridCol w:w="1670"/>
        <w:gridCol w:w="1524"/>
        <w:gridCol w:w="1132"/>
        <w:gridCol w:w="1511"/>
        <w:gridCol w:w="1511"/>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Weighting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Years used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r>
      <w:tr>
        <w:trPr>
          <w:trHeight w:val="62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0.761</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0.670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0.833</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0.206</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0.559</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0.759</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0.577</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0.725</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1.350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0.642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1.090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0.777</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0.678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0.186</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0.648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0.937</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0.657</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0.255</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-0.089</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0.398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1.530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2.090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0.204</w:t>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1.880</w:t>
            </w:r>
          </w:p>
        </w:tc>
      </w:tr>
    </w:tbl>
    <w:p>
      <w:r>
        <w:br w:type="page"/>
      </w:r>
    </w:p>
    <w:p>
      <w:pPr>
        <w:pStyle w:val="BodyText"/>
      </w:pPr>
      <w:r>
        <w:t xml:space="preserve">Table S11. Comparison of screened target studies that were included versus excluded under the current reproducible COMPADRE-based screen. Numeric entries are study-level means ± SD; life-form entries are numbers of studies with percentages in parentheses. This comparison shows only modest differences between the retained and excluded screened sets.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840"/>
        <w:gridCol w:w="1510"/>
        <w:gridCol w:w="1510"/>
      </w:tblGrid>
      <w:tr>
        <w:trPr>
          <w:trHeight w:val="57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Included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Excluded</w:t>
            </w:r>
          </w:p>
        </w:tc>
      </w:tr>
      <w:tr>
        <w:trPr>
          <w:trHeight w:val="605"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Studies, 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69</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 matrix dimension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5.92 ± 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6.68 ± 5.05</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 stage-specific survival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0.74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0.76 ± 0.15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survival estimates equal to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 ± 0.09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survival estimates equal to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 ±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 ± 0.15</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survival estimates at the boundary (0 or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 ± 0.17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Herbaceous perennial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 (60.9%)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 (58.0%)</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Succulent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 (11.6%)</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Shrub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 (5.8%)</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Tree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 (18.8%)</w:t>
            </w:r>
          </w:p>
        </w:tc>
      </w:tr>
      <w:tr>
        <w:trPr>
          <w:trHeight w:val="616"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Palm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 (8.7%)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 (5.8%)</w:t>
            </w:r>
          </w:p>
        </w:tc>
      </w:tr>
    </w:tbl>
    <w:p>
      <w:r>
        <w:br w:type="page"/>
      </w:r>
    </w:p>
    <w:p>
      <w:pPr>
        <w:pStyle w:val="BodyText"/>
      </w:pPr>
      <w:r>
        <w:t xml:space="preserve">Table S12. Distribution of boundary survival estimates and small stage-specific sample sizes across analysis 1 population-level MPM entries, grouped by the COMPADRE life-form categories available for these studies and by broad matrix-dimension class. Percentages give the share of population entries with at least one boundary survival estimate or at least one stage with sample size below the stated threshold. Woody life-form categories are included for completeness but are sparsely represented in this subset.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73"/>
        <w:gridCol w:w="2563"/>
        <w:gridCol w:w="2416"/>
        <w:gridCol w:w="3871"/>
        <w:gridCol w:w="2960"/>
        <w:gridCol w:w="2960"/>
        <w:gridCol w:w="2734"/>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Population entries,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Any boundary survival estimate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Any stage with N &lt; 20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Any stage with N &lt; 50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 minimum stage N</w:t>
            </w:r>
          </w:p>
        </w:tc>
      </w:tr>
      <w:tr>
        <w:trPr>
          <w:trHeight w:val="6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Epiphyte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29.0</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Herbaceous perennial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66.3</w:t>
            </w:r>
          </w:p>
        </w:tc>
      </w:tr>
      <w:tr>
        <w:trPr>
          <w:trHeight w:val="5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Palm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144.7</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Shrub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190.0</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Succulent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85.4</w:t>
            </w:r>
          </w:p>
        </w:tc>
      </w:tr>
      <w:tr>
        <w:trPr>
          <w:trHeight w:val="5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Matrix dimension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 stages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83.2</w:t>
            </w:r>
          </w:p>
        </w:tc>
      </w:tr>
      <w:tr>
        <w:trPr>
          <w:trHeight w:val="61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Matrix dimension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 stages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43.6</w:t>
            </w:r>
          </w:p>
        </w:tc>
      </w:tr>
    </w:tbl>
    <w:p>
      <w:r>
        <w:br w:type="page"/>
      </w:r>
    </w:p>
    <w:p>
      <w:pPr>
        <w:pStyle w:val="BodyText"/>
      </w:pPr>
      <w:r>
        <w:t xml:space="preserve">Table S13. Linear models relating displacement magnitude in analysis 1 to boundary-survival predictors. Displacement is defined as the absolute difference between the point estimate and the median of the sampling distribution; life expectancy displacement is modelled on the log10 scale. Positive slopes indicate greater point-estimate displacement in matrices with more boundary survival structure.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236"/>
        <w:gridCol w:w="5498"/>
        <w:gridCol w:w="2416"/>
        <w:gridCol w:w="973"/>
        <w:gridCol w:w="1756"/>
        <w:gridCol w:w="1206"/>
        <w:gridCol w:w="961"/>
      </w:tblGrid>
      <w:tr>
        <w:trPr>
          <w:trHeight w:val="619"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Response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Population entries,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Slope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R²</w:t>
            </w:r>
          </w:p>
        </w:tc>
      </w:tr>
      <w:tr>
        <w:trPr>
          <w:trHeight w:val="619"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Shape displacement |point - median|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Number of boundary survival stages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[0.005, 0.016]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0.176</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Shape displacement |point -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individuals in boundary-survival stages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[0.043, 0.143]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0.181</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 displacement |log10(point) - log10(median)|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Number of boundary survival stages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[0.029, 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0.177</w:t>
            </w:r>
          </w:p>
        </w:tc>
      </w:tr>
      <w:tr>
        <w:trPr>
          <w:trHeight w:val="62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 displacement |log10(point) - log10(median)|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individuals in boundary-survival stages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[0.370, 0.974]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 1e-04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0.242</w:t>
            </w:r>
          </w:p>
        </w:tc>
      </w:tr>
    </w:tbl>
    <w:p>
      <w:r>
        <w:br w:type="page"/>
      </w:r>
    </w:p>
    <w:p>
      <w:pPr>
        <w:pStyle w:val="BodyText"/>
      </w:pPr>
      <w:r>
        <w:t xml:space="preserve">Table S14. Sensitivity of analysis 1 shape estimates to the quasi-stable-distribution truncation threshold used when calculating the shape metric. Comparisons are against the 1% threshold used in the main analysis, showing that the substantive shape results are stable to plausible threshold choices.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97"/>
        <w:gridCol w:w="2416"/>
        <w:gridCol w:w="3272"/>
        <w:gridCol w:w="3191"/>
        <w:gridCol w:w="3912"/>
        <w:gridCol w:w="2885"/>
        <w:gridCol w:w="3484"/>
        <w:gridCol w:w="2184"/>
        <w:gridCol w:w="1475"/>
        <w:gridCol w:w="1646"/>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Population entries,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Correlation of point estimates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|ΔS| (point 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95th percentile |ΔS| (point 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Max |ΔS| (point 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|ΔS| (sampling 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Sign changes in 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Δq</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Range of Δq</w:t>
            </w:r>
          </w:p>
        </w:tc>
      </w:tr>
      <w:tr>
        <w:trPr>
          <w:trHeight w:val="569"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 vs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to 54</w:t>
            </w:r>
          </w:p>
        </w:tc>
      </w:tr>
      <w:tr>
        <w:trPr>
          <w:trHeight w:val="56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vs 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-126 to 0</w:t>
            </w:r>
          </w:p>
        </w:tc>
      </w:tr>
    </w:tbl>
    <w:p>
      <w:r>
        <w:br w:type="page"/>
      </w:r>
    </w:p>
    <w:bookmarkEnd w:id="40"/>
    <w:bookmarkStart w:id="57" w:name="supplementary-figures"/>
    <w:p>
      <w:pPr>
        <w:pStyle w:val="Heading1"/>
      </w:pPr>
      <w:r>
        <w:t xml:space="preserve">Supplementary Figures</w:t>
      </w:r>
    </w:p>
    <w:p>
      <w:pPr>
        <w:pStyle w:val="CaptionedFigure"/>
      </w:pPr>
      <w:r>
        <w:drawing>
          <wp:inline>
            <wp:extent cx="5727700" cy="3665728"/>
            <wp:effectExtent b="0" l="0" r="0" t="0"/>
            <wp:docPr descr="Figure 1: Boundary-estimate diagnostic. Purple lines indicate point-estimate-derived quantities and green densities indicate uncertainty-aware summaries from sampling distributions. When stage-specific survival estimates are near 0 or 1, derived-parameter sampling distributions can be displaced relative to point estimates, indicating potential inferential fragility." title="" id="42" name="Picture"/>
            <a:graphic>
              <a:graphicData uri="http://schemas.openxmlformats.org/drawingml/2006/picture">
                <pic:pic>
                  <pic:nvPicPr>
                    <pic:cNvPr descr="manuscript_supplement_files/d8529a6b665ec0f3e10c96d308c29bc378c62062.png" id="43" name="Picture"/>
                    <pic:cNvPicPr>
                      <a:picLocks noChangeArrowheads="1" noChangeAspect="1"/>
                    </pic:cNvPicPr>
                  </pic:nvPicPr>
                  <pic:blipFill>
                    <a:blip r:embed="rId41"/>
                    <a:stretch>
                      <a:fillRect/>
                    </a:stretch>
                  </pic:blipFill>
                  <pic:spPr bwMode="auto">
                    <a:xfrm>
                      <a:off x="0" y="0"/>
                      <a:ext cx="5727700" cy="3665728"/>
                    </a:xfrm>
                    <a:prstGeom prst="rect">
                      <a:avLst/>
                    </a:prstGeom>
                    <a:noFill/>
                    <a:ln w="9525">
                      <a:noFill/>
                      <a:headEnd/>
                      <a:tailEnd/>
                    </a:ln>
                  </pic:spPr>
                </pic:pic>
              </a:graphicData>
            </a:graphic>
          </wp:inline>
        </w:drawing>
      </w:r>
    </w:p>
    <w:p>
      <w:pPr>
        <w:pStyle w:val="ImageCaption"/>
      </w:pPr>
      <w:bookmarkStart w:id="44" w:name="fig:fig-boundary-1"/>
      <w:bookmarkEnd w:id="44"/>
      <w:r>
        <w:t xml:space="preserve">Figure 1: Boundary-estimate diagnostic. Purple lines indicate point-estimate-derived quantities and green densities indicate uncertainty-aware summaries from sampling distributions. When stage-specific survival estimates are near 0 or 1, derived-parameter sampling distributions can be displaced relative to point estimates, indicating potential inferential fragility.</w:t>
      </w:r>
    </w:p>
    <w:p>
      <w:r>
        <w:br w:type="page"/>
      </w:r>
    </w:p>
    <w:p>
      <w:pPr>
        <w:pStyle w:val="CaptionedFigure"/>
      </w:pPr>
      <w:r>
        <w:drawing>
          <wp:inline>
            <wp:extent cx="5727700" cy="5498592"/>
            <wp:effectExtent b="0" l="0" r="0" t="0"/>
            <wp:docPr descr="Figure 2: Illustration of survivorship trajectories under boundary survival transitions. Age/time is shown in years. These cases can induce artefactual trajectory shapes and help explain mismatches between point estimates and uncertainty-aware summaries." title="" id="46" name="Picture"/>
            <a:graphic>
              <a:graphicData uri="http://schemas.openxmlformats.org/drawingml/2006/picture">
                <pic:pic>
                  <pic:nvPicPr>
                    <pic:cNvPr descr="manuscript_supplement_files/14ef09e30f575359848c2835f63766b001ca77ef.png" id="47" name="Picture"/>
                    <pic:cNvPicPr>
                      <a:picLocks noChangeArrowheads="1" noChangeAspect="1"/>
                    </pic:cNvPicPr>
                  </pic:nvPicPr>
                  <pic:blipFill>
                    <a:blip r:embed="rId45"/>
                    <a:stretch>
                      <a:fillRect/>
                    </a:stretch>
                  </pic:blipFill>
                  <pic:spPr bwMode="auto">
                    <a:xfrm>
                      <a:off x="0" y="0"/>
                      <a:ext cx="5727700" cy="5498592"/>
                    </a:xfrm>
                    <a:prstGeom prst="rect">
                      <a:avLst/>
                    </a:prstGeom>
                    <a:noFill/>
                    <a:ln w="9525">
                      <a:noFill/>
                      <a:headEnd/>
                      <a:tailEnd/>
                    </a:ln>
                  </pic:spPr>
                </pic:pic>
              </a:graphicData>
            </a:graphic>
          </wp:inline>
        </w:drawing>
      </w:r>
    </w:p>
    <w:p>
      <w:pPr>
        <w:pStyle w:val="ImageCaption"/>
      </w:pPr>
      <w:bookmarkStart w:id="48" w:name="fig:fig-boundary-2"/>
      <w:bookmarkEnd w:id="48"/>
      <w:r>
        <w:t xml:space="preserve">Figure 2: Illustration of survivorship trajectories under boundary survival transitions. Age/time is shown in years. These cases can induce artefactual trajectory shapes and help explain mismatches between point estimates and uncertainty-aware summaries.</w:t>
      </w:r>
    </w:p>
    <w:p>
      <w:r>
        <w:br w:type="page"/>
      </w:r>
    </w:p>
    <w:p>
      <w:pPr>
        <w:pStyle w:val="CaptionedFigure"/>
      </w:pPr>
      <w:r>
        <w:drawing>
          <wp:inline>
            <wp:extent cx="5727700" cy="4455476"/>
            <wp:effectExtent b="0" l="0" r="0" t="0"/>
            <wp:docPr descr="Figure 3: Displacement magnitude in analysis 1 increases with boundary-survival structure. Each point is a population-level matrix. Panels compare the absolute difference between the point estimate and the sampling-distribution median against the number of boundary survival stages and the proportion of sampled individuals in those boundary stages, showing that matrices with more boundary-survival structure tend to have larger point-estimate displacement." title="" id="50" name="Picture"/>
            <a:graphic>
              <a:graphicData uri="http://schemas.openxmlformats.org/drawingml/2006/picture">
                <pic:pic>
                  <pic:nvPicPr>
                    <pic:cNvPr descr="manuscript_supplement_files/7a07c06ddb7e22240bd267f312370e06b58b05ad.png" id="51" name="Picture"/>
                    <pic:cNvPicPr>
                      <a:picLocks noChangeArrowheads="1" noChangeAspect="1"/>
                    </pic:cNvPicPr>
                  </pic:nvPicPr>
                  <pic:blipFill>
                    <a:blip r:embed="rId49"/>
                    <a:stretch>
                      <a:fillRect/>
                    </a:stretch>
                  </pic:blipFill>
                  <pic:spPr bwMode="auto">
                    <a:xfrm>
                      <a:off x="0" y="0"/>
                      <a:ext cx="5727700" cy="4455476"/>
                    </a:xfrm>
                    <a:prstGeom prst="rect">
                      <a:avLst/>
                    </a:prstGeom>
                    <a:noFill/>
                    <a:ln w="9525">
                      <a:noFill/>
                      <a:headEnd/>
                      <a:tailEnd/>
                    </a:ln>
                  </pic:spPr>
                </pic:pic>
              </a:graphicData>
            </a:graphic>
          </wp:inline>
        </w:drawing>
      </w:r>
    </w:p>
    <w:p>
      <w:pPr>
        <w:pStyle w:val="ImageCaption"/>
      </w:pPr>
      <w:bookmarkStart w:id="52" w:name="fig:fig-boundary-3"/>
      <w:bookmarkEnd w:id="52"/>
      <w:r>
        <w:t xml:space="preserve">Figure 3: Displacement magnitude in analysis 1 increases with boundary-survival structure. Each point is a population-level matrix. Panels compare the absolute difference between the point estimate and the sampling-distribution median against the number of boundary survival stages and the proportion of sampled individuals in those boundary stages, showing that matrices with more boundary-survival structure tend to have larger point-estimate displacement.</w:t>
      </w:r>
    </w:p>
    <w:p>
      <w:r>
        <w:br w:type="page"/>
      </w:r>
    </w:p>
    <w:p>
      <w:pPr>
        <w:pStyle w:val="CaptionedFigure"/>
      </w:pPr>
      <w:r>
        <w:drawing>
          <wp:inline>
            <wp:extent cx="5727700" cy="2862502"/>
            <wp:effectExtent b="0" l="0" r="0" t="0"/>
            <wp:docPr descr="Figure 4: Sensitivity of analysis 1 point estimates of mortality-trajectory shape to the quasi-stable-distribution truncation threshold. Point estimates calculated with 0.5% and 5% thresholds are plotted against the 1% threshold used in the main analysis, showing that most values lie close to the 1:1 line and that threshold choice makes little difference except for a small number of near-zero cases." title="" id="54" name="Picture"/>
            <a:graphic>
              <a:graphicData uri="http://schemas.openxmlformats.org/drawingml/2006/picture">
                <pic:pic>
                  <pic:nvPicPr>
                    <pic:cNvPr descr="manuscript_supplement_files/f81ebd71ddc3db9e22297ad2a98c3b5420b48bc0.png" id="55" name="Picture"/>
                    <pic:cNvPicPr>
                      <a:picLocks noChangeArrowheads="1" noChangeAspect="1"/>
                    </pic:cNvPicPr>
                  </pic:nvPicPr>
                  <pic:blipFill>
                    <a:blip r:embed="rId53"/>
                    <a:stretch>
                      <a:fillRect/>
                    </a:stretch>
                  </pic:blipFill>
                  <pic:spPr bwMode="auto">
                    <a:xfrm>
                      <a:off x="0" y="0"/>
                      <a:ext cx="5727700" cy="2862502"/>
                    </a:xfrm>
                    <a:prstGeom prst="rect">
                      <a:avLst/>
                    </a:prstGeom>
                    <a:noFill/>
                    <a:ln w="9525">
                      <a:noFill/>
                      <a:headEnd/>
                      <a:tailEnd/>
                    </a:ln>
                  </pic:spPr>
                </pic:pic>
              </a:graphicData>
            </a:graphic>
          </wp:inline>
        </w:drawing>
      </w:r>
    </w:p>
    <w:p>
      <w:pPr>
        <w:pStyle w:val="ImageCaption"/>
      </w:pPr>
      <w:bookmarkStart w:id="56" w:name="fig:fig-boundary-4"/>
      <w:bookmarkEnd w:id="56"/>
      <w:r>
        <w:t xml:space="preserve">Figure 4: Sensitivity of analysis 1 point estimates of mortality-trajectory shape to the quasi-stable-distribution truncation threshold. Point estimates calculated with 0.5% and 5% thresholds are plotted against the 1% threshold used in the main analysis, showing that most values lie close to the 1:1 line and that threshold choice makes little difference except for a small number of near-zero cases.</w:t>
      </w:r>
    </w:p>
    <w:p>
      <w:r>
        <w:br w:type="page"/>
      </w:r>
    </w:p>
    <w:bookmarkEnd w:id="57"/>
    <w:sectPr w:rsidR="00445ECF" w:rsidRPr="000A5324" w:rsidSect="001B4436">
      <w:footerReference r:id="rId7" w:type="even"/>
      <w:footerReference r:id="rId8" w:type="default"/>
      <w:footnotePr>
        <w:numRestart w:val="eachSect"/>
      </w:footnotePr>
      <w:pgSz w:h="16840" w:w="1190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6937502"/>
      <w:docPartObj>
        <w:docPartGallery w:val="Page Numbers (Bottom of Page)"/>
        <w:docPartUnique/>
      </w:docPartObj>
    </w:sdtPr>
    <w:sdtContent>
      <w:p w14:paraId="490C19CE" w14:textId="64C9547D"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C03708" w14:textId="77777777" w:rsidR="001B4436" w:rsidRDefault="001B4436" w:rsidP="001B44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0175131"/>
      <w:docPartObj>
        <w:docPartGallery w:val="Page Numbers (Bottom of Page)"/>
        <w:docPartUnique/>
      </w:docPartObj>
    </w:sdtPr>
    <w:sdtContent>
      <w:p w14:paraId="2E928B8B" w14:textId="3C8A6D49"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0EDF20" w14:textId="77777777" w:rsidR="001B4436" w:rsidRDefault="001B4436" w:rsidP="001B4436">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4AC19B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10478427" w:numId="1">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7"/>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33842"/>
    <w:rsid w:val="00080394"/>
    <w:rsid w:val="000A5324"/>
    <w:rsid w:val="001B4436"/>
    <w:rsid w:val="00293780"/>
    <w:rsid w:val="00445ECF"/>
    <w:rsid w:val="00453F52"/>
    <w:rsid w:val="00862BD4"/>
    <w:rsid w:val="008D3315"/>
    <w:rsid w:val="00BC4829"/>
    <w:rsid w:val="00D521CD"/>
    <w:rsid w:val="00F73D1F"/>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93780"/>
    <w:pPr>
      <w:spacing w:line="480" w:lineRule="auto"/>
    </w:pPr>
    <w:rPr>
      <w:rFonts w:ascii="Garamond" w:eastAsiaTheme="minorEastAsia" w:hAnsi="Garamond"/>
    </w:rPr>
  </w:style>
  <w:style w:styleId="Heading1" w:type="paragraph">
    <w:name w:val="heading 1"/>
    <w:basedOn w:val="Normal"/>
    <w:next w:val="BodyText"/>
    <w:link w:val="Heading1Char"/>
    <w:uiPriority w:val="9"/>
    <w:qFormat/>
    <w:rsid w:val="00293780"/>
    <w:pPr>
      <w:keepNext/>
      <w:keepLines/>
      <w:spacing w:after="80" w:before="360"/>
      <w:outlineLvl w:val="0"/>
    </w:pPr>
    <w:rPr>
      <w:rFonts w:cstheme="majorBidi" w:eastAsiaTheme="majorEastAsia"/>
      <w:b/>
      <w:bCs/>
      <w:color w:themeColor="accent1" w:themeShade="BF" w:val="0F4761"/>
      <w:sz w:val="28"/>
      <w:szCs w:val="28"/>
    </w:rPr>
  </w:style>
  <w:style w:styleId="Heading2" w:type="paragraph">
    <w:name w:val="heading 2"/>
    <w:basedOn w:val="Normal"/>
    <w:next w:val="BodyText"/>
    <w:link w:val="Heading2Char"/>
    <w:uiPriority w:val="9"/>
    <w:unhideWhenUsed/>
    <w:qFormat/>
    <w:rsid w:val="00293780"/>
    <w:pPr>
      <w:keepNext/>
      <w:keepLines/>
      <w:spacing w:after="80" w:before="160"/>
      <w:outlineLvl w:val="1"/>
    </w:pPr>
    <w:rPr>
      <w:rFonts w:cstheme="majorBidi" w:eastAsiaTheme="majorEastAsia"/>
      <w:i/>
      <w:iCs/>
      <w:color w:themeColor="accent1" w:themeShade="BF" w:val="0F4761"/>
    </w:rPr>
  </w:style>
  <w:style w:styleId="Heading3" w:type="paragraph">
    <w:name w:val="heading 3"/>
    <w:basedOn w:val="Normal"/>
    <w:next w:val="BodyText"/>
    <w:link w:val="Heading3Char"/>
    <w:uiPriority w:val="9"/>
    <w:unhideWhenUsed/>
    <w:qFormat/>
    <w:rsid w:val="00293780"/>
    <w:pPr>
      <w:keepNext/>
      <w:keepLines/>
      <w:spacing w:after="80" w:before="160"/>
      <w:outlineLvl w:val="2"/>
    </w:pPr>
    <w:rPr>
      <w:rFonts w:cstheme="majorBidi" w:eastAsiaTheme="majorEastAsia"/>
      <w:i/>
      <w:iCs/>
      <w:color w:themeColor="accent1" w:themeShade="BF" w:val="0F4761"/>
    </w:rPr>
  </w:style>
  <w:style w:styleId="Heading4" w:type="paragraph">
    <w:name w:val="heading 4"/>
    <w:basedOn w:val="Normal"/>
    <w:next w:val="BodyText"/>
    <w:link w:val="Heading4Char"/>
    <w:uiPriority w:val="9"/>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93780"/>
    <w:pPr>
      <w:spacing w:after="180" w:before="180"/>
    </w:pPr>
  </w:style>
  <w:style w:customStyle="1" w:styleId="FirstParagraph" w:type="paragraph">
    <w:name w:val="First Paragraph"/>
    <w:basedOn w:val="BodyText"/>
    <w:next w:val="BodyText"/>
    <w:qFormat/>
    <w:rsid w:val="00293780"/>
  </w:style>
  <w:style w:customStyle="1" w:styleId="Compact" w:type="paragraph">
    <w:name w:val="Compact"/>
    <w:basedOn w:val="BodyText"/>
    <w:qFormat/>
    <w:rsid w:val="00293780"/>
    <w:pPr>
      <w:spacing w:after="36" w:before="36"/>
    </w:pPr>
  </w:style>
  <w:style w:styleId="Title" w:type="paragraph">
    <w:name w:val="Title"/>
    <w:basedOn w:val="Normal"/>
    <w:next w:val="BodyText"/>
    <w:link w:val="TitleChar"/>
    <w:uiPriority w:val="10"/>
    <w:qFormat/>
    <w:rsid w:val="00293780"/>
    <w:pPr>
      <w:spacing w:after="80" w:line="240" w:lineRule="auto"/>
      <w:contextualSpacing/>
      <w:jc w:val="center"/>
    </w:pPr>
    <w:rPr>
      <w:rFonts w:cstheme="majorBidi" w:eastAsiaTheme="majorEastAsia"/>
      <w:b/>
      <w:bCs/>
      <w:sz w:val="56"/>
      <w:szCs w:val="56"/>
    </w:rPr>
  </w:style>
  <w:style w:customStyle="1" w:styleId="TitleChar" w:type="character">
    <w:name w:val="Title Char"/>
    <w:basedOn w:val="DefaultParagraphFont"/>
    <w:link w:val="Title"/>
    <w:uiPriority w:val="10"/>
    <w:rsid w:val="00293780"/>
    <w:rPr>
      <w:rFonts w:ascii="Garamond" w:cstheme="majorBidi" w:eastAsiaTheme="majorEastAsia" w:hAnsi="Garamond"/>
      <w:b/>
      <w:bCs/>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033842"/>
    <w:pPr>
      <w:keepNext/>
      <w:keepLines/>
      <w:spacing w:before="600"/>
    </w:pPr>
    <w:rPr>
      <w:b w:val="0"/>
      <w:bCs w:val="0"/>
      <w:sz w:val="32"/>
      <w:szCs w:val="32"/>
    </w:rPr>
  </w:style>
  <w:style w:styleId="Date" w:type="paragraph">
    <w:name w:val="Date"/>
    <w:basedOn w:val="Title"/>
    <w:next w:val="BodyText"/>
    <w:qFormat/>
    <w:rsid w:val="00033842"/>
    <w:pPr>
      <w:keepNext/>
      <w:keepLines/>
      <w:spacing w:before="400"/>
    </w:pPr>
    <w:rPr>
      <w:b w:val="0"/>
      <w:bCs w:val="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033842"/>
    <w:pPr>
      <w:keepNext/>
      <w:keepLines/>
      <w:spacing w:after="300" w:before="100"/>
    </w:pPr>
  </w:style>
  <w:style w:styleId="Bibliography" w:type="paragraph">
    <w:name w:val="Bibliography"/>
    <w:basedOn w:val="Normal"/>
    <w:qFormat/>
  </w:style>
  <w:style w:customStyle="1" w:styleId="Heading1Char" w:type="character">
    <w:name w:val="Heading 1 Char"/>
    <w:basedOn w:val="DefaultParagraphFont"/>
    <w:link w:val="Heading1"/>
    <w:uiPriority w:val="9"/>
    <w:rsid w:val="00293780"/>
    <w:rPr>
      <w:rFonts w:ascii="Garamond" w:cstheme="majorBidi" w:eastAsiaTheme="majorEastAsia" w:hAnsi="Garamond"/>
      <w:b/>
      <w:bCs/>
      <w:color w:themeColor="accent1" w:themeShade="BF" w:val="0F4761"/>
      <w:sz w:val="28"/>
      <w:szCs w:val="28"/>
    </w:rPr>
  </w:style>
  <w:style w:customStyle="1" w:styleId="Heading2Char" w:type="character">
    <w:name w:val="Heading 2 Char"/>
    <w:basedOn w:val="DefaultParagraphFont"/>
    <w:link w:val="Heading2"/>
    <w:uiPriority w:val="9"/>
    <w:rsid w:val="00293780"/>
    <w:rPr>
      <w:rFonts w:ascii="Garamond" w:cstheme="majorBidi" w:eastAsiaTheme="majorEastAsia" w:hAnsi="Garamond"/>
      <w:i/>
      <w:iCs/>
      <w:color w:themeColor="accent1" w:themeShade="BF" w:val="0F4761"/>
    </w:rPr>
  </w:style>
  <w:style w:customStyle="1" w:styleId="Heading3Char" w:type="character">
    <w:name w:val="Heading 3 Char"/>
    <w:basedOn w:val="DefaultParagraphFont"/>
    <w:link w:val="Heading3"/>
    <w:uiPriority w:val="9"/>
    <w:rsid w:val="00293780"/>
    <w:rPr>
      <w:rFonts w:ascii="Garamond" w:cstheme="majorBidi" w:eastAsiaTheme="majorEastAsia" w:hAnsi="Garamond"/>
      <w:i/>
      <w:iCs/>
      <w:color w:themeColor="accent1" w:themeShade="BF" w:val="0F4761"/>
    </w:rPr>
  </w:style>
  <w:style w:customStyle="1" w:styleId="Heading4Char" w:type="character">
    <w:name w:val="Heading 4 Char"/>
    <w:basedOn w:val="DefaultParagraphFont"/>
    <w:link w:val="Heading4"/>
    <w:uiPriority w:val="9"/>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Footer" w:type="paragraph">
    <w:name w:val="footer"/>
    <w:basedOn w:val="Normal"/>
    <w:link w:val="FooterChar"/>
    <w:rsid w:val="001B4436"/>
    <w:pPr>
      <w:tabs>
        <w:tab w:pos="4680" w:val="center"/>
        <w:tab w:pos="9360" w:val="right"/>
      </w:tabs>
      <w:spacing w:after="0" w:line="240" w:lineRule="auto"/>
    </w:pPr>
  </w:style>
  <w:style w:customStyle="1" w:styleId="FooterChar" w:type="character">
    <w:name w:val="Footer Char"/>
    <w:basedOn w:val="DefaultParagraphFont"/>
    <w:link w:val="Footer"/>
    <w:rsid w:val="001B4436"/>
    <w:rPr>
      <w:rFonts w:ascii="Garamond" w:eastAsiaTheme="minorEastAsia" w:hAnsi="Garamond"/>
    </w:rPr>
  </w:style>
  <w:style w:styleId="PageNumber" w:type="character">
    <w:name w:val="page number"/>
    <w:basedOn w:val="DefaultParagraphFont"/>
    <w:rsid w:val="001B4436"/>
  </w:style>
  <w:style w:styleId="LineNumber" w:type="character">
    <w:name w:val="line number"/>
    <w:basedOn w:val="DefaultParagraphFont"/>
    <w:rsid w:val="001B4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2.xml" Type="http://schemas.openxmlformats.org/officeDocument/2006/relationships/footer" /><Relationship Id="rId7" Target="footer1.xml" Type="http://schemas.openxmlformats.org/officeDocument/2006/relationships/footer" /><Relationship Type="http://schemas.openxmlformats.org/officeDocument/2006/relationships/image" Id="rId35" Target="media/rId35.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41" Target="media/rId41.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1830</Words>
  <Characters>10433</Characters>
  <Application>Microsoft Office Word</Application>
  <DocSecurity>0</DocSecurity>
  <Lines>86</Lines>
  <Paragraphs>24</Paragraphs>
  <ScaleCrop>false</ScaleCrop>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
  <cp:keywords/>
  <dcterms:created xsi:type="dcterms:W3CDTF">2026-08-14T07:50:49Z</dcterms:created>
  <dcterms:modified xsi:type="dcterms:W3CDTF">2026-08-14T07:50:49Z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y fmtid="{D5CDD505-2E9C-101B-9397-08002B2CF9AE}" pid="4" name="subtitle">
    <vt:lpwstr>When does sampling uncertainty matter in matrix population models? Evidence from published projection matrices</vt:lpwstr>
  </property>
</Properties>
</file>