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spacing w:after="60"/>
      </w:pPr>
      <w:r>
        <w:t xml:space="preserve">One response below (Reviewer 2, line 168) is still to be completed and is marked accordingly.</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sampling-to-other variance ratio,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providing direct quantitative support for the proposed mechanism.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made the temporal-variation caveat more prominent. In the Results we now state explicitly that, because sample sizes were pooled across years, the reported sampling-to-other variance ratios are conservative estimates of the true sampling-to-biological ratio. We have also added a sentence to the Results connecting this to the comparative senescence literature, noting that part of the apparent among-population variation in mortality trajectories may reflect sampling noise and temporal variation rather than only true underlying biological differences.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now address this concern directly, and more cleanly, through the new simulation study (Analysis 3). That analysis fits all three formulations to data with known truth: contrasting the Gaussian and Poisson point-estimate models isolates the effect of the structural change, while contrasting the Poisson point-estimate and Poisson uncertainty-aware models isolates the effect of uncertainty propagation.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have qualified the checklist accordingly. The thresholds are now presented explicitly as heuristics derived from a restricted and taxonomically narrow dataset of largely herbaceous perennials that are unlikely to apply universally, rather than as formally validated decision rules, and we have softened the corresponding claims about the robustness of integrated metrics such as λ.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We now report this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sets out the likelihood-based parametric bootstrap explicitly,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addressed both parts. On the ‘spectrum’, we now state explicitly in the Introduction that the three analyses span common uses of published MPMs, from within-species analyses of climate effects on demographic rates, through multi-population climate-demography comparisons, to broad comparative analyses of lifetime-integrating traits. We have also added a dedicated paragraph motivating climate-demography analyses: it explains that when demographic rates are regressed on climate drivers, noise in the vital-rate response biases the estimated climate slope towards zero (attenuation bias), so that failing to propagate sampling uncertainty could in principle distort conclusions even in a single-species context, and notes that whether this is severe in practice is an open question we address.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we now note that use of a Poisson distribution for fecundity might under-capture overdispersion in species with highly variable fecundity.</w:t>
      </w:r>
      <w:r>
        <w:rPr>
          <w:b/>
          <w:bCs/>
          <w:color w:val="C00000"/>
        </w:rPr>
        <w:t xml:space="preserve">  [Emily to add a brief note on whether reproduction-centric metrics might show different patterns from the survival/λ-focused results.]</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at all and therefore could not contribute to uncertainty-propagation analyses that require reconstructed sampling distributions.”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implemented bootstrap, death is resampled jointly with the living transitions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variance-component overview before the specific comparison. On balance we have retained the current overall order, because the variance-component summary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We have revised this claim so that it no longer implies a meaningful difference in posterior width between the two formulations. The text now states that the interval widths are very similar and quantifies the small difference.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have clarified what we mean by ‘trait-dependent’ at the start of the Discussion, and now lead with the Analysis 1 result before turning to Analysis 2, so the two are no longer directly compared at the outset.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figure colour scheme so that point estimates (purple) and sampling-distribution/uncertainty-aware summaries (green) are distinguished consistently across all main and supplementary figures, and the captions have been revised to match the plotted colours and symbols.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consistent with the other captions: it now states upfront that accounting for sampling uncertainty strengthens support for a positive life expectancy–shape relationship by shrinking and shifting the population-level estimates that drive the regression.</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added a sentence in the Supplementary Results noting that boundary survival estimates arise from finite sampling of discrete stage classes and are expected to be less frequent when stages are more finely or continuously resolved, as in integral projection models.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