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explored related model differences through the new simulation study (Analysis 3). That analysis fits all three formulations to data with known truth, with a log link for the Gaussian comparator so that all three coefficients target the same log-scale climate effect. Both Poisson models account for count sampling variation; their comparison tests the effect of adding a year-specific process term, rather than the effect of propagating transition-rate sampling uncertainty alone.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describes direct conjugate posterior sampling, including the priors, draw counts and treatment of zero entries and unavailable sample sizes,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Where retained, their unsupported columns were held fixed rather than assigned reconstructed sampling uncertainty.”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posterior sampling, death probability is drawn jointly with the living-transition probabilities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We also clarify that weighting and dispersion assumptions differ, so interval-width differences cannot be attributed solely to sampling uncertainty. Non-estimable stages are labelled rather than plotted as survival probabilities on the coefficient axis.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