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5.png" ContentType="image/png"/>
  <Override PartName="/word/media/rId3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supplementary-methods"/>
    <w:p>
      <w:pPr>
        <w:pStyle w:val="Heading1"/>
      </w:pPr>
      <w:r>
        <w:t xml:space="preserve">Supplementary Methods</w:t>
      </w:r>
    </w:p>
    <w:bookmarkStart w:id="17"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7"/>
    <w:bookmarkStart w:id="18"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8"/>
    <w:bookmarkStart w:id="19"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9"/>
    <w:bookmarkStart w:id="20"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1"/>
        </w:numPr>
      </w:pPr>
      <w:r>
        <w:t xml:space="preserve">Analysis 3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2"/>
        </w:numPr>
      </w:pPr>
      <w:r>
        <w:t xml:space="preserve">Analysis 3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20"/>
    <w:bookmarkStart w:id="21"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r>
            <m:rPr>
              <m:sty m:val="p"/>
            </m:rPr>
            <m:t>(</m:t>
          </m:r>
          <m:r>
            <m:t>1</m:t>
          </m:r>
          <m:r>
            <m:rPr>
              <m:sty m:val="p"/>
            </m:rPr>
            <m:t>)</m:t>
          </m:r>
        </m:oMath>
      </m:oMathPara>
    </w:p>
    <w:p>
      <w:pPr>
        <w:pStyle w:val="FirstParagraph"/>
      </w:pPr>
      <w:r>
        <w:t xml:space="preserve">Ratios above 1 indicate that sampling uncertainty exceeds residual biological variation for that parameter.</w:t>
      </w:r>
    </w:p>
    <w:bookmarkEnd w:id="21"/>
    <w:bookmarkStart w:id="22"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2"/>
    <w:bookmarkStart w:id="23"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3"/>
    <w:bookmarkStart w:id="24"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24"/>
    <w:bookmarkStart w:id="25" w:name="Xa94d0151380c98c8f0742d728782bf95f083eb5"/>
    <w:p>
      <w:pPr>
        <w:pStyle w:val="Heading2"/>
      </w:pPr>
      <w:r>
        <w:t xml:space="preserve">S1.9 Study and species identities in analysis 1</w:t>
      </w:r>
    </w:p>
    <w:p>
      <w:pPr>
        <w:pStyle w:val="FirstParagraph"/>
      </w:pPr>
      <w:r>
        <w:t xml:space="preserve">Analysis 1 used a subset of the full compiled dataset: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5"/>
    <w:bookmarkStart w:id="26" w:name="X37a8c59b2f3f6e5f6d65eb2840e875bf2388921"/>
    <w:p>
      <w:pPr>
        <w:pStyle w:val="Heading2"/>
      </w:pPr>
      <w:r>
        <w:t xml:space="preserve">S1.10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26"/>
    <w:bookmarkStart w:id="27"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the 68 population-level entries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These summaries are descriptive and intended to identify where potentially fragile point estimates are concentrated in the analysed subset.</w:t>
      </w:r>
    </w:p>
    <w:bookmarkEnd w:id="27"/>
    <w:bookmarkStart w:id="28" w:name="Xbcc0c51d82b2bf49c697952fc977fc249429e0d"/>
    <w:p>
      <w:pPr>
        <w:pStyle w:val="Heading2"/>
      </w:pPr>
      <w:r>
        <w:t xml:space="preserve">S1.12 Displacement magnitude versus boundary survival structure</w:t>
      </w:r>
    </w:p>
    <w:p>
      <w:pPr>
        <w:pStyle w:val="FirstParagraph"/>
      </w:pPr>
      <w:r>
        <w:t xml:space="preserve">To quantify the mechanism behind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28"/>
    <w:bookmarkStart w:id="29"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bootstrap sampling-distribution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29"/>
    <w:bookmarkEnd w:id="30"/>
    <w:bookmarkStart w:id="35" w:name="supplementary-results"/>
    <w:p>
      <w:pPr>
        <w:pStyle w:val="Heading1"/>
      </w:pPr>
      <w:r>
        <w:t xml:space="preserve">Supplementary Results</w:t>
      </w:r>
    </w:p>
    <w:bookmarkStart w:id="31"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1"/>
    <w:bookmarkStart w:id="32"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45.2830189% of entries containing at least one boundary survival estimate and 33.9622642% containing at least one stage with</w:t>
      </w:r>
      <w:r>
        <w:t xml:space="preserve"> </w:t>
      </w:r>
      <m:oMath>
        <m:r>
          <m:t>N</m:t>
        </m:r>
        <m:r>
          <m:rPr>
            <m:sty m:val="p"/>
          </m:rPr>
          <m:t>&lt;</m:t>
        </m:r>
        <m:r>
          <m:t>20</m:t>
        </m:r>
      </m:oMath>
      <w:r>
        <w:t xml:space="preserve">. Succulents showed lower corresponding values (22.2222222% and 22.2222222%, respectively). Woody life forms were too sparsely represented in the final subset for strong conclusions. By matrix dimension, both features were more common in 6+-stage matrices than in 3-5-stage matrices (61.1111111% versus 36% for any boundary estimate; 44.4444444% versus 26% for any stage with</w:t>
      </w:r>
      <w:r>
        <w:t xml:space="preserve"> </w:t>
      </w:r>
      <m:oMath>
        <m:r>
          <m:t>N</m:t>
        </m:r>
        <m:r>
          <m:rPr>
            <m:sty m:val="p"/>
          </m:rPr>
          <m:t>&lt;</m:t>
        </m:r>
        <m:r>
          <m:t>20</m:t>
        </m:r>
      </m:oMath>
      <w:r>
        <w:t xml:space="preserve">; Table S12).</w:t>
      </w:r>
    </w:p>
    <w:bookmarkEnd w:id="32"/>
    <w:bookmarkStart w:id="33"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results support the proposed mechanism: matrices with more boundary-survival structure tend to show larger mismatches between point estimates and the centres of their sampling distributions.</w:t>
      </w:r>
    </w:p>
    <w:bookmarkEnd w:id="33"/>
    <w:bookmarkStart w:id="34"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Overall, this sensitivity check indicates that the main qualitative results are not driven by the specific 1% truncation threshold.</w:t>
      </w:r>
    </w:p>
    <w:bookmarkEnd w:id="34"/>
    <w:bookmarkEnd w:id="35"/>
    <w:bookmarkStart w:id="36"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This comparison shows only modest differences between the retained and excluded screened 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showing that the substantive shape results are stable to plausible threshold choices.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36"/>
    <w:bookmarkStart w:id="53" w:name="supplementary-figures"/>
    <w:p>
      <w:pPr>
        <w:pStyle w:val="Heading1"/>
      </w:pPr>
      <w:r>
        <w:t xml:space="preserve">Supplementary Figures</w:t>
      </w:r>
    </w:p>
    <w:p>
      <w:pPr>
        <w:pStyle w:val="CaptionedFigure"/>
      </w:pPr>
      <w:r>
        <w:drawing>
          <wp:inline>
            <wp:extent cx="5727700" cy="3665728"/>
            <wp:effectExtent b="0" l="0" r="0" t="0"/>
            <wp:docPr descr="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38" name="Picture"/>
            <a:graphic>
              <a:graphicData uri="http://schemas.openxmlformats.org/drawingml/2006/picture">
                <pic:pic>
                  <pic:nvPicPr>
                    <pic:cNvPr descr="sampling_uncertainty_mpm_supplement_files/d8529a6b665ec0f3e10c96d308c29bc378c62062.png" id="39" name="Picture"/>
                    <pic:cNvPicPr>
                      <a:picLocks noChangeArrowheads="1" noChangeAspect="1"/>
                    </pic:cNvPicPr>
                  </pic:nvPicPr>
                  <pic:blipFill>
                    <a:blip r:embed="rId37"/>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40" w:name="fig:fig-boundary-1"/>
      <w:bookmarkEnd w:id="40"/>
      <w:r>
        <w:t xml:space="preserve">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2: Illustration of survivorship trajectories under boundary survival transitions. Age/time is shown in years. These cases can induce artefactual trajectory shapes and help explain mismatches between point estimates and uncertainty-aware summaries." title="" id="42" name="Picture"/>
            <a:graphic>
              <a:graphicData uri="http://schemas.openxmlformats.org/drawingml/2006/picture">
                <pic:pic>
                  <pic:nvPicPr>
                    <pic:cNvPr descr="sampling_uncertainty_mpm_supplement_files/14ef09e30f575359848c2835f63766b001ca77ef.png" id="43" name="Picture"/>
                    <pic:cNvPicPr>
                      <a:picLocks noChangeArrowheads="1" noChangeAspect="1"/>
                    </pic:cNvPicPr>
                  </pic:nvPicPr>
                  <pic:blipFill>
                    <a:blip r:embed="rId41"/>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44" w:name="fig:fig-boundary-2"/>
      <w:bookmarkEnd w:id="44"/>
      <w:r>
        <w:t xml:space="preserve">Figure 2: Illustration of survivorship trajectories under boundary survival transitions. Age/time is shown in years. These cases can induce artefactual trajectory shapes and help explain mismatches between point estimates and uncertainty-aware summaries.</w:t>
      </w:r>
    </w:p>
    <w:p>
      <w:r>
        <w:br w:type="page"/>
      </w:r>
    </w:p>
    <w:p>
      <w:pPr>
        <w:pStyle w:val="CaptionedFigure"/>
      </w:pPr>
      <w:r>
        <w:drawing>
          <wp:inline>
            <wp:extent cx="5727700" cy="4455476"/>
            <wp:effectExtent b="0" l="0" r="0" t="0"/>
            <wp:docPr descr="Figure 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 title="" id="46" name="Picture"/>
            <a:graphic>
              <a:graphicData uri="http://schemas.openxmlformats.org/drawingml/2006/picture">
                <pic:pic>
                  <pic:nvPicPr>
                    <pic:cNvPr descr="sampling_uncertainty_mpm_supplement_files/7a07c06ddb7e22240bd267f312370e06b58b05ad.png" id="47" name="Picture"/>
                    <pic:cNvPicPr>
                      <a:picLocks noChangeArrowheads="1" noChangeAspect="1"/>
                    </pic:cNvPicPr>
                  </pic:nvPicPr>
                  <pic:blipFill>
                    <a:blip r:embed="rId45"/>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48" w:name="fig:fig-boundary-3"/>
      <w:bookmarkEnd w:id="48"/>
      <w:r>
        <w:t xml:space="preserve">Figure 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r>
        <w:br w:type="page"/>
      </w:r>
    </w:p>
    <w:p>
      <w:pPr>
        <w:pStyle w:val="CaptionedFigure"/>
      </w:pPr>
      <w:r>
        <w:drawing>
          <wp:inline>
            <wp:extent cx="5727700" cy="2862502"/>
            <wp:effectExtent b="0" l="0" r="0" t="0"/>
            <wp:docPr descr="Figure 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 title="" id="50" name="Picture"/>
            <a:graphic>
              <a:graphicData uri="http://schemas.openxmlformats.org/drawingml/2006/picture">
                <pic:pic>
                  <pic:nvPicPr>
                    <pic:cNvPr descr="sampling_uncertainty_mpm_supplement_files/f81ebd71ddc3db9e22297ad2a98c3b5420b48bc0.png" id="51" name="Picture"/>
                    <pic:cNvPicPr>
                      <a:picLocks noChangeArrowheads="1" noChangeAspect="1"/>
                    </pic:cNvPicPr>
                  </pic:nvPicPr>
                  <pic:blipFill>
                    <a:blip r:embed="rId49"/>
                    <a:stretch>
                      <a:fillRect/>
                    </a:stretch>
                  </pic:blipFill>
                  <pic:spPr bwMode="auto">
                    <a:xfrm>
                      <a:off x="0" y="0"/>
                      <a:ext cx="5727700" cy="2862502"/>
                    </a:xfrm>
                    <a:prstGeom prst="rect">
                      <a:avLst/>
                    </a:prstGeom>
                    <a:noFill/>
                    <a:ln w="9525">
                      <a:noFill/>
                      <a:headEnd/>
                      <a:tailEnd/>
                    </a:ln>
                  </pic:spPr>
                </pic:pic>
              </a:graphicData>
            </a:graphic>
          </wp:inline>
        </w:drawing>
      </w:r>
    </w:p>
    <w:p>
      <w:pPr>
        <w:pStyle w:val="ImageCaption"/>
      </w:pPr>
      <w:bookmarkStart w:id="52" w:name="fig:fig-boundary-4"/>
      <w:bookmarkEnd w:id="52"/>
      <w:r>
        <w:t xml:space="preserve">Figure 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r>
        <w:br w:type="page"/>
      </w:r>
    </w:p>
    <w:bookmarkEnd w:id="53"/>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2026-08-11T14:32:04Z</dcterms:created>
  <dcterms:modified xsi:type="dcterms:W3CDTF">2026-08-11T14:32:04Z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