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Sampling-to-other variance ratios for parameters derived from MPMs, with 95% intervals from the variance-component model.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7"/>
        <w:gridCol w:w="3272"/>
        <w:gridCol w:w="1621"/>
      </w:tblGrid>
      <w:tr>
        <w:trPr>
          <w:trHeight w:val="621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Sampling:other variance 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interval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shape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[2.26, 5.06]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life_expectancy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[1.48, 2.55]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loglam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[0.99, 1.15]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[1.01, 1.29]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[1.20, 2.22]</w:t>
            </w:r>
          </w:p>
        </w:tc>
      </w:tr>
      <w:tr>
        <w:trPr>
          <w:trHeight w:val="61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pmature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[1.08, 2.59]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2026-08-11T16:07:30Z</dcterms:modified>
  <cp:category/>
</cp:coreProperties>
</file>