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S1-3. Point estimates and draws from the sampling distribution for derived parameters from a mean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912"/>
        <w:gridCol w:w="1034"/>
        <w:gridCol w:w="1805"/>
      </w:tblGrid>
      <w:tr>
        <w:trPr>
          <w:trHeight w:val="57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1.930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62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2026-08-11T16:07:30Z</dcterms:modified>
  <cp:category/>
</cp:coreProperties>
</file>