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S1-7. Comparison of screened target studies that were included versus excluded under the current reproducible COMPADRE-based screen. Numeric entries are study-level means ± SD; life-form entries are numbers of studies with percentages in parentheses.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840"/>
        <w:gridCol w:w="1510"/>
        <w:gridCol w:w="1510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Excluded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Studies,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matrix dimension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5.92 ±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6.68 ± 5.05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stage-specific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 ±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± 0.15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survival estimates equal to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±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± 0.09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survival estimates equal to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±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± 0.15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survival estimates at the boundary (0 or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±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± 0.17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Dominant life form: Herbaceous perennial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(58.0%)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Dominant life form: Succulent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Dominant life form: Shrub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Dominant life form: Tree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(18.8%)</w:t>
            </w:r>
          </w:p>
        </w:tc>
      </w:tr>
      <w:tr>
        <w:trPr>
          <w:trHeight w:val="616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Dominant life form: Palm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(8.7%)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(5.8%)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2026-08-11T16:07:31Z</dcterms:modified>
  <cp:category/>
</cp:coreProperties>
</file>