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S12. Distribution of boundary survival estimates and small stage-specific sample sizes across analysis 1 population-level MPM entries, grouped by the COMPADRE life-form categories available for these studies and by broad matrix-dimension class. Percentages give the share of population entries with at least one boundary survival estimate or at least one stage with sample size below the stated threshold.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3"/>
        <w:gridCol w:w="2563"/>
        <w:gridCol w:w="2416"/>
        <w:gridCol w:w="3871"/>
        <w:gridCol w:w="2960"/>
        <w:gridCol w:w="2960"/>
        <w:gridCol w:w="2734"/>
      </w:tblGrid>
      <w:tr>
        <w:trPr>
          <w:trHeight w:val="62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Population entries, 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Any boundary survival estimate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Any stage with N &lt; 20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Any stage with N &lt; 50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minimum stage N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form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Epiphyte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Herbaceous perennial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66.3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144.7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Shrub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190.0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Succulent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85.4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Matrix dimension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3-5 stages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83.2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Matrix dimension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6+ stages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2026-08-11T16:07:31Z</dcterms:modified>
  <cp:category/>
</cp:coreProperties>
</file>