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S14. Sensitivity of analysis 1 shape estimates to the quasi-stable-distribution truncation threshold used when calculating the shape metric. Comparisons are against the 1% threshold used in the main analysis. Small differences and near-unit correlations show that the substantive shape results are stable to plausible threshold choices.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416"/>
        <w:gridCol w:w="3272"/>
        <w:gridCol w:w="3191"/>
        <w:gridCol w:w="3912"/>
        <w:gridCol w:w="2885"/>
        <w:gridCol w:w="3484"/>
        <w:gridCol w:w="2184"/>
        <w:gridCol w:w="1475"/>
        <w:gridCol w:w="1646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 entries,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 of point estimates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|ΔS| (point estimate)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95th percentile |ΔS| (point estimate)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 |ΔS| (point estimate)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|ΔS| (sampling median)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 changes in 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Δq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of Δq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0.5% vs 1%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to 54</w:t>
            </w:r>
          </w:p>
        </w:tc>
      </w:tr>
      <w:tr>
        <w:trPr>
          <w:trHeight w:val="56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5% vs 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-126 to 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2026-08-11T16:07:31Z</dcterms:modified>
  <cp:category/>
</cp:coreProperties>
</file>