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58.png" ContentType="image/png"/>
  <Override PartName="/word/media/rId54.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two parallel analyses, one comparative and the other a within-species time series, that either incorporated or ignored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These two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 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analysing</w:t>
      </w:r>
      <w:r>
        <w:t xml:space="preserve"> </w:t>
      </w:r>
      <w:r>
        <w:t xml:space="preserve">“other people’s data”</w:t>
      </w:r>
      <w:r>
        <w:t xml:space="preserve"> </w:t>
      </w:r>
      <w:r>
        <w:t xml:space="preserve">also presents its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almost always account for sampling uncertainty in their own analyses. However, studies that subsequently analyse parameter estimates compiled in demographic databases rarely account for uncertainty in those estimates, raising questions about the robustness of inferences drawn from such analyses (Biggs et al. 2009).</w:t>
      </w:r>
    </w:p>
    <w:p>
      <w:pPr>
        <w:pStyle w:val="BodyText"/>
      </w:pPr>
      <w:r>
        <w:t xml:space="preserve">Despite widespread recognition that sampling uncertainty is inherent in demographic estimates,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Here, we instead focus on the practical consequences of accounting for sampling uncertainty in real analyses, asking when and for which demographic traits this uncertainty materially affects inference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&amp;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The focal quantities are mature life expectancy, the shape of the mortality trajectory, the log population growth rate, and recruitment-climate regression coefficients. Because COMPADRE does not routinely include the transition-level sample-size information needed for uncertainty reconstruction, our analysis is restricted to the subset for which these data could be assembled (325 MPMs from 33 studies; details in Methods). We illustrate trait-dependent uncertainty effects using two analyses, a multi-species comparative analysis of life expectancy-shape relationships and a single-species time-series analysis of weather effects on recruitment. Through these analyses, we identify diagnostic features that help researchers assess robustness in their own work and clarify when explicit uncertainty propagation is likely to matter. Because most published plant MPMs are stage-structured rather than age-structured, many demographic quantities of biological interest (e.g. life expectancy and mortality shape) are inferred indirectly from stage transitions. This stage-to-age mapping can amplify the effects of sampling uncertainty, particularly for traits that depend on long-term survivorship.</w:t>
      </w:r>
    </w:p>
    <w:bookmarkEnd w:id="25"/>
    <w:bookmarkStart w:id="34"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the COMPADRE database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 91 studies that met our initial criteria, we obtained the data required to model sampling uncertainty for 28, yielding a total of 298 MPMs for 73 populations of 27 species. We supplemented this set with 5 additional studies published before 2010 for which we had previously obtained data (these had been targeted based on a criterion of ≥4 years of temporal replication). Our final set therefore included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but in general, survival-related transitions are estimated directly from observed transition frequencies in a sample of tagged individuals, as in Eq. (1),</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w:t>
      </w:r>
    </w:p>
    <w:bookmarkEnd w:id="29"/>
    <w:bookmarkStart w:id="33"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In that study, ~80 plants were monitored each year in a population estimated at ~1000 individuals. The raw transition frequencies used to derive the focal MPM (including death transitions appended as an extra row) were</w:t>
      </w:r>
    </w:p>
    <w:p>
      <w:pPr>
        <w:pStyle w:val="BodyText"/>
      </w:pPr>
      <m:oMathPara>
        <m:oMathParaPr>
          <m:jc m:val="center"/>
        </m:oMathParaPr>
        <m:oMath>
          <m:m>
            <m:mPr>
              <m:baseJc m:val="center"/>
              <m:plcHide m:val="on"/>
              <m:mcs>
                <m:mc>
                  <m:mcPr>
                    <m:mcJc m:val="right"/>
                    <m:count m:val="1"/>
                  </m:mcPr>
                </m:mc>
                <m:mc>
                  <m:mcPr>
                    <m:mcJc m:val="left"/>
                    <m:count m:val="1"/>
                  </m:mcPr>
                </m:mc>
              </m:mcs>
            </m:mPr>
            <m:mr>
              <m:e/>
              <m:e>
                <m:sSub>
                  <m:e>
                    <m:r>
                      <m:t>F</m:t>
                    </m:r>
                  </m:e>
                  <m:sub>
                    <m:r>
                      <m:t>14</m:t>
                    </m:r>
                  </m:sub>
                </m:sSub>
                <m:r>
                  <m:rPr>
                    <m:sty m:val="p"/>
                  </m:rPr>
                  <m:t>=</m:t>
                </m:r>
                <m:r>
                  <m:t>9</m:t>
                </m:r>
                <m:r>
                  <m:rPr>
                    <m:sty m:val="p"/>
                  </m:rPr>
                  <m:t>/</m:t>
                </m:r>
                <m:r>
                  <m:t>47</m:t>
                </m:r>
                <m:r>
                  <m:rPr>
                    <m:sty m:val="p"/>
                  </m:rPr>
                  <m:t>,</m:t>
                </m:r>
                <m:r>
                  <m:t> </m:t>
                </m:r>
                <m:sSub>
                  <m:e>
                    <m:r>
                      <m:t>U</m:t>
                    </m:r>
                  </m:e>
                  <m:sub>
                    <m:r>
                      <m:t>21</m:t>
                    </m:r>
                  </m:sub>
                </m:sSub>
                <m:r>
                  <m:rPr>
                    <m:sty m:val="p"/>
                  </m:rPr>
                  <m:t>=</m:t>
                </m:r>
                <m:r>
                  <m:t>12</m:t>
                </m:r>
                <m:r>
                  <m:rPr>
                    <m:sty m:val="p"/>
                  </m:rPr>
                  <m:t>/</m:t>
                </m:r>
                <m:r>
                  <m:t>14</m:t>
                </m:r>
                <m:r>
                  <m:rPr>
                    <m:sty m:val="p"/>
                  </m:rPr>
                  <m:t>,</m:t>
                </m:r>
                <m:r>
                  <m:t> </m:t>
                </m:r>
                <m:sSub>
                  <m:e>
                    <m:r>
                      <m:t>U</m:t>
                    </m:r>
                  </m:e>
                  <m:sub>
                    <m:r>
                      <m:t>22</m:t>
                    </m:r>
                  </m:sub>
                </m:sSub>
                <m:r>
                  <m:rPr>
                    <m:sty m:val="p"/>
                  </m:rPr>
                  <m:t>=</m:t>
                </m:r>
                <m:r>
                  <m:t>14</m:t>
                </m:r>
                <m:r>
                  <m:rPr>
                    <m:sty m:val="p"/>
                  </m:rPr>
                  <m:t>/</m:t>
                </m:r>
                <m:r>
                  <m:t>18</m:t>
                </m:r>
                <m:r>
                  <m:rPr>
                    <m:sty m:val="p"/>
                  </m:rPr>
                  <m:t>,</m:t>
                </m:r>
                <m:r>
                  <m:t> </m:t>
                </m:r>
                <m:sSub>
                  <m:e>
                    <m:r>
                      <m:t>U</m:t>
                    </m:r>
                  </m:e>
                  <m:sub>
                    <m:r>
                      <m:t>32</m:t>
                    </m:r>
                  </m:sub>
                </m:sSub>
                <m:r>
                  <m:rPr>
                    <m:sty m:val="p"/>
                  </m:rPr>
                  <m:t>=</m:t>
                </m:r>
                <m:r>
                  <m:t>1</m:t>
                </m:r>
                <m:r>
                  <m:rPr>
                    <m:sty m:val="p"/>
                  </m:rPr>
                  <m:t>/</m:t>
                </m:r>
                <m:r>
                  <m:t>18</m:t>
                </m:r>
                <m:r>
                  <m:rPr>
                    <m:sty m:val="p"/>
                  </m:rPr>
                  <m:t>,</m:t>
                </m:r>
              </m:e>
            </m:mr>
            <m:mr>
              <m:e/>
              <m:e>
                <m:sSub>
                  <m:e>
                    <m:r>
                      <m:t>U</m:t>
                    </m:r>
                  </m:e>
                  <m:sub>
                    <m:r>
                      <m:t>33</m:t>
                    </m:r>
                  </m:sub>
                </m:sSub>
                <m:r>
                  <m:rPr>
                    <m:sty m:val="p"/>
                  </m:rPr>
                  <m:t>=</m:t>
                </m:r>
                <m:r>
                  <m:t>6</m:t>
                </m:r>
                <m:r>
                  <m:rPr>
                    <m:sty m:val="p"/>
                  </m:rPr>
                  <m:t>/</m:t>
                </m:r>
                <m:r>
                  <m:t>9</m:t>
                </m:r>
                <m:r>
                  <m:rPr>
                    <m:sty m:val="p"/>
                  </m:rPr>
                  <m:t>,</m:t>
                </m:r>
                <m:r>
                  <m:t> </m:t>
                </m:r>
                <m:sSub>
                  <m:e>
                    <m:r>
                      <m:t>U</m:t>
                    </m:r>
                  </m:e>
                  <m:sub>
                    <m:r>
                      <m:t>34</m:t>
                    </m:r>
                  </m:sub>
                </m:sSub>
                <m:r>
                  <m:rPr>
                    <m:sty m:val="p"/>
                  </m:rPr>
                  <m:t>=</m:t>
                </m:r>
                <m:r>
                  <m:t>13</m:t>
                </m:r>
                <m:r>
                  <m:rPr>
                    <m:sty m:val="p"/>
                  </m:rPr>
                  <m:t>/</m:t>
                </m:r>
                <m:r>
                  <m:t>47</m:t>
                </m:r>
                <m:r>
                  <m:rPr>
                    <m:sty m:val="p"/>
                  </m:rPr>
                  <m:t>,</m:t>
                </m:r>
                <m:r>
                  <m:t> </m:t>
                </m:r>
                <m:sSub>
                  <m:e>
                    <m:r>
                      <m:t>U</m:t>
                    </m:r>
                  </m:e>
                  <m:sub>
                    <m:r>
                      <m:t>43</m:t>
                    </m:r>
                  </m:sub>
                </m:sSub>
                <m:r>
                  <m:rPr>
                    <m:sty m:val="p"/>
                  </m:rPr>
                  <m:t>=</m:t>
                </m:r>
                <m:r>
                  <m:t>2</m:t>
                </m:r>
                <m:r>
                  <m:rPr>
                    <m:sty m:val="p"/>
                  </m:rPr>
                  <m:t>/</m:t>
                </m:r>
                <m:r>
                  <m:t>9</m:t>
                </m:r>
                <m:r>
                  <m:rPr>
                    <m:sty m:val="p"/>
                  </m:rPr>
                  <m:t>,</m:t>
                </m:r>
                <m:r>
                  <m:t> </m:t>
                </m:r>
                <m:sSub>
                  <m:e>
                    <m:r>
                      <m:t>U</m:t>
                    </m:r>
                  </m:e>
                  <m:sub>
                    <m:r>
                      <m:t>44</m:t>
                    </m:r>
                  </m:sub>
                </m:sSub>
                <m:r>
                  <m:rPr>
                    <m:sty m:val="p"/>
                  </m:rPr>
                  <m:t>=</m:t>
                </m:r>
                <m:r>
                  <m:t>33</m:t>
                </m:r>
                <m:r>
                  <m:rPr>
                    <m:sty m:val="p"/>
                  </m:rPr>
                  <m:t>/</m:t>
                </m:r>
                <m:r>
                  <m:t>47</m:t>
                </m:r>
                <m:r>
                  <m:rPr>
                    <m:sty m:val="p"/>
                  </m:rPr>
                  <m:t>,</m:t>
                </m:r>
              </m:e>
            </m:mr>
            <m:mr>
              <m:e/>
              <m:e>
                <m:sSub>
                  <m:e>
                    <m:r>
                      <m:t>U</m:t>
                    </m:r>
                  </m:e>
                  <m:sub>
                    <m:r>
                      <m:t>d</m:t>
                    </m:r>
                    <m:r>
                      <m:t>1</m:t>
                    </m:r>
                  </m:sub>
                </m:sSub>
                <m:r>
                  <m:rPr>
                    <m:sty m:val="p"/>
                  </m:rPr>
                  <m:t>=</m:t>
                </m:r>
                <m:r>
                  <m:t>2</m:t>
                </m:r>
                <m:r>
                  <m:rPr>
                    <m:sty m:val="p"/>
                  </m:rPr>
                  <m:t>/</m:t>
                </m:r>
                <m:r>
                  <m:t>14</m:t>
                </m:r>
                <m:r>
                  <m:rPr>
                    <m:sty m:val="p"/>
                  </m:rPr>
                  <m:t>,</m:t>
                </m:r>
                <m:r>
                  <m:t> </m:t>
                </m:r>
                <m:sSub>
                  <m:e>
                    <m:r>
                      <m:t>U</m:t>
                    </m:r>
                  </m:e>
                  <m:sub>
                    <m:r>
                      <m:t>d</m:t>
                    </m:r>
                    <m:r>
                      <m:t>2</m:t>
                    </m:r>
                  </m:sub>
                </m:sSub>
                <m:r>
                  <m:rPr>
                    <m:sty m:val="p"/>
                  </m:rPr>
                  <m:t>=</m:t>
                </m:r>
                <m:r>
                  <m:t>3</m:t>
                </m:r>
                <m:r>
                  <m:rPr>
                    <m:sty m:val="p"/>
                  </m:rPr>
                  <m:t>/</m:t>
                </m:r>
                <m:r>
                  <m:t>18</m:t>
                </m:r>
                <m:r>
                  <m:rPr>
                    <m:sty m:val="p"/>
                  </m:rPr>
                  <m:t>,</m:t>
                </m:r>
                <m:r>
                  <m:t> </m:t>
                </m:r>
                <m:sSub>
                  <m:e>
                    <m:r>
                      <m:t>U</m:t>
                    </m:r>
                  </m:e>
                  <m:sub>
                    <m:r>
                      <m:t>d</m:t>
                    </m:r>
                    <m:r>
                      <m:t>3</m:t>
                    </m:r>
                  </m:sub>
                </m:sSub>
                <m:r>
                  <m:rPr>
                    <m:sty m:val="p"/>
                  </m:rPr>
                  <m:t>=</m:t>
                </m:r>
                <m:r>
                  <m:t>1</m:t>
                </m:r>
                <m:r>
                  <m:rPr>
                    <m:sty m:val="p"/>
                  </m:rPr>
                  <m:t>/</m:t>
                </m:r>
                <m:r>
                  <m:t>9</m:t>
                </m:r>
                <m:r>
                  <m:rPr>
                    <m:sty m:val="p"/>
                  </m:rPr>
                  <m:t>,</m:t>
                </m:r>
                <m:r>
                  <m:t> </m:t>
                </m:r>
                <m:sSub>
                  <m:e>
                    <m:r>
                      <m:t>U</m:t>
                    </m:r>
                  </m:e>
                  <m:sub>
                    <m:r>
                      <m:t>d</m:t>
                    </m:r>
                    <m:r>
                      <m:t>4</m:t>
                    </m:r>
                  </m:sub>
                </m:sSub>
                <m:r>
                  <m:rPr>
                    <m:sty m:val="p"/>
                  </m:rPr>
                  <m:t>=</m:t>
                </m:r>
                <m:r>
                  <m:t>1</m:t>
                </m:r>
                <m:r>
                  <m:rPr>
                    <m:sty m:val="p"/>
                  </m:rPr>
                  <m:t>/</m:t>
                </m:r>
                <m:r>
                  <m:t>47</m:t>
                </m:r>
                <m:r>
                  <m:rPr>
                    <m:sty m:val="p"/>
                  </m:rPr>
                  <m:t>.</m:t>
                </m:r>
              </m:e>
            </m:mr>
          </m:m>
        </m:oMath>
      </m:oMathPara>
    </w:p>
    <w:p>
      <w:pPr>
        <w:pStyle w:val="FirstParagraph"/>
      </w:pPr>
      <w:r>
        <w:t xml:space="preserve">Given these transition frequencies, the sampling distributions of the underlying transition rates correspond to the following models:</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two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 series in which the response variable is a directly observed count, the statistical model is closely tied to the raw data, and the question concerns an environmental driver rather than a demographic trait per se. Together, the two analyses bracket a range of typical uses of published MPMs and allow us to ask whether the consequences of sampling uncertainty are consistent across these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 history variation (e.g. , Salguero-Gómez et al. , 2016; Healy et al. ,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as defined in COMPADRE. For populations with temporal replication (i.e., MPMs across multiple time periods), we used the pooled population MPM in our analysis, if available; otherwise, we used the population mean MPM. To model sampling uncertainty for pooled or mean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To incorporate sampling uncertainty, we used a measurement error model (based on McElreath 2020, sec. 14.1.2) 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modelled based on the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of their respective sampling distributions (derived as described in the sampling-distribution section above), as in Eqs. (5), (6), and (7),</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r>
                <m:t>x</m:t>
              </m:r>
            </m:e>
            <m:sub>
              <m:r>
                <m:t>i</m:t>
              </m:r>
              <m:r>
                <m:t>j</m:t>
              </m:r>
            </m:sub>
          </m:sSub>
          <m:r>
            <m:rPr>
              <m:sty m:val="p"/>
            </m:rPr>
            <m:t>∼</m:t>
          </m:r>
          <m:r>
            <m:rPr>
              <m:nor/>
              <m:sty m:val="p"/>
            </m:rPr>
            <m:t>Normal</m:t>
          </m:r>
          <m:d>
            <m:dPr>
              <m:begChr m:val="("/>
              <m:sepChr m:val=""/>
              <m:endChr m:val=")"/>
              <m:grow/>
            </m:dPr>
            <m:e>
              <m:sSub>
                <m:e>
                  <m:acc>
                    <m:accPr>
                      <m:chr m:val="‾"/>
                    </m:accPr>
                    <m:e>
                      <m:r>
                        <m:t>x</m:t>
                      </m:r>
                    </m:e>
                  </m:acc>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r>
                <m:t>y</m:t>
              </m:r>
            </m:e>
            <m:sub>
              <m:r>
                <m:t>i</m:t>
              </m:r>
              <m:r>
                <m:t>j</m:t>
              </m:r>
            </m:sub>
          </m:sSub>
          <m:r>
            <m:rPr>
              <m:sty m:val="p"/>
            </m:rPr>
            <m:t>∼</m:t>
          </m:r>
          <m:r>
            <m:rPr>
              <m:nor/>
              <m:sty m:val="p"/>
            </m:rPr>
            <m:t>Normal</m:t>
          </m:r>
          <m:d>
            <m:dPr>
              <m:begChr m:val="("/>
              <m:sepChr m:val=""/>
              <m:endChr m:val=")"/>
              <m:grow/>
            </m:dPr>
            <m:e>
              <m:sSub>
                <m:e>
                  <m:acc>
                    <m:accPr>
                      <m:chr m:val="‾"/>
                    </m:accPr>
                    <m:e>
                      <m:r>
                        <m:t>y</m:t>
                      </m:r>
                    </m:e>
                  </m:acc>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from that of survival transitions, and that results from this analysis should not be assumed to generalise to other transition types.</w:t>
      </w:r>
    </w:p>
    <w:p>
      <w:pPr>
        <w:pStyle w:val="BodyText"/>
      </w:pPr>
      <w:r>
        <w:t xml:space="preserve">We examined the effect of monthly temperature deviations, derived from PRISM monthly temperature rasters extracted at the study population coordinates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likelihood</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t>Σ</m:t>
              </m:r>
            </m:e>
          </m:d>
          <m:r>
            <m:t>  </m:t>
          </m:r>
          <m:d>
            <m:dPr>
              <m:begChr m:val="("/>
              <m:sepChr m:val=""/>
              <m:endChr m:val=")"/>
              <m:grow/>
            </m:dPr>
            <m:e>
              <m:r>
                <m:t>9</m:t>
              </m:r>
            </m:e>
          </m:d>
        </m:oMath>
      </m:oMathPara>
    </w:p>
    <w:p>
      <w:pPr>
        <w:pStyle w:val="FirstParagraph"/>
      </w:pPr>
      <w:r>
        <w:t xml:space="preserve">climate coefficient for each monthly lag k</w:t>
      </w:r>
    </w:p>
    <w:p>
      <w:pPr>
        <w:pStyle w:val="BodyText"/>
      </w:pPr>
      <m:oMathPara>
        <m:oMathParaPr>
          <m:jc m:val="center"/>
        </m:oMathParaPr>
        <m:oMath>
          <m:sSub>
            <m:e>
              <m:r>
                <m:t>Σ</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covariance matrix (row i, column j)</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t>Σ</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incorporate sampling uncertainty into our model, we model the raw counts underlying the recruitment point estimates using a Poisson distribution, as in Eq. (11),</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likelihood</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year-specific intercepts</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t>Σ</m:t>
              </m:r>
            </m:e>
          </m:d>
        </m:oMath>
      </m:oMathPara>
    </w:p>
    <w:p>
      <w:pPr>
        <w:pStyle w:val="FirstParagraph"/>
      </w:pPr>
      <w:r>
        <w:t xml:space="preserve">climate coefficient for each monthly lag k</w:t>
      </w:r>
    </w:p>
    <w:p>
      <w:pPr>
        <w:pStyle w:val="BodyText"/>
      </w:pPr>
      <m:oMathPara>
        <m:oMathParaPr>
          <m:jc m:val="center"/>
        </m:oMathParaPr>
        <m:oMath>
          <m:sSub>
            <m:e>
              <m:r>
                <m:t>Σ</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oMath>
      </m:oMathPara>
    </w:p>
    <w:p>
      <w:pPr>
        <w:pStyle w:val="FirstParagraph"/>
      </w:pPr>
      <w:r>
        <w:t xml:space="preserve">covariance matrix (row i, column j)</w:t>
      </w:r>
    </w:p>
    <w:p>
      <w:pPr>
        <w:pStyle w:val="BodyText"/>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bookmarkEnd w:id="32"/>
    <w:bookmarkEnd w:id="33"/>
    <w:bookmarkEnd w:id="34"/>
    <w:bookmarkStart w:id="37" w:name="results"/>
    <w:p>
      <w:pPr>
        <w:pStyle w:val="Heading1"/>
      </w:pPr>
      <w:r>
        <w:t xml:space="preserve">Results</w:t>
      </w:r>
    </w:p>
    <w:bookmarkStart w:id="35" w:name="Xdd6638ed7316a87858b3445bbb79e25a6ceb092"/>
    <w:p>
      <w:pPr>
        <w:pStyle w:val="Heading2"/>
      </w:pPr>
      <w:r>
        <w:t xml:space="preserve">Analysis 1: Comparative analysis of mortality trajectories</w:t>
      </w:r>
    </w:p>
    <w:p>
      <w:pPr>
        <w:pStyle w:val="FirstParagraph"/>
      </w:pPr>
      <w:r>
        <w:t xml:space="preserve">For our parameters of interest, life expectancy and shape, the estimated sampling-to-other variance ratios across population-level MPM entries in analysis 1 were 2.00 and 3.28,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 estimate model was centred slightly to the left of zero (P[β &gt; 0] = 0.258), whereas the corresponding posterior from the sampling uncertainty model was shifted somewhat to the right (P[β &gt; 0] = 0.646), indicating stronger evidence for a positive relationship between life expectancy and shape.</w:t>
      </w:r>
    </w:p>
    <w:p>
      <w:pPr>
        <w:pStyle w:val="BodyText"/>
      </w:pPr>
      <w:r>
        <w:t xml:space="preserve">Counterintuitively, there was less posterior uncertainty in β in the sampling uncertainty model than in the point 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5"/>
    <w:bookmarkStart w:id="36"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 estimate model and the sampling 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 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 estimate model. A difference of this magnitude is unlikely to qualitatively change any inferences drawn from a model.</w:t>
      </w:r>
    </w:p>
    <w:bookmarkEnd w:id="36"/>
    <w:bookmarkEnd w:id="37"/>
    <w:bookmarkStart w:id="44" w:name="discussion"/>
    <w:p>
      <w:pPr>
        <w:pStyle w:val="Heading1"/>
      </w:pPr>
      <w:r>
        <w:t xml:space="preserve">Discussion</w:t>
      </w:r>
    </w:p>
    <w:bookmarkStart w:id="38"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38"/>
    <w:bookmarkStart w:id="39"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pronounced sensitivity of certain demographic traits reflects both statistical and structural features of stage-structured matrix models. Traits such as life expectancy and the shape of the mortality distribution depend on survivorship at advanced ages, which in MPMs is inferred indirectly via age-from-stage methods. These estimates are therefore particularly sensitive to uncertainty in late-stage survival and to the coarse representation of age variation inherent in many published matrices, especially when analyses are anchored at reproductive maturity.</w:t>
      </w:r>
    </w:p>
    <w:p>
      <w:pPr>
        <w:pStyle w:val="BodyText"/>
      </w:pPr>
      <w:r>
        <w:t xml:space="preserve">Several features of MPM structure exacerbate this sensitivity. In the species-level mean MPM set used for analysis 1 (26 species; species identities listed in Supplementary Methods section S1.8), 35% include only a single reproductive stage class, providing no information on age-related variation among individuals that enter and remain in the reproductive class until death. Even among matrices with two or more reproductive stages, 28% reach a quasi-stable distribution in less than one life expectancy, limiting reliable mortality estimates to relatively young age classes. A particularly important source of distortion arises from boundary estimates of stage-specific survival, where point estimates approach either 0% or 100%. Such estimates are common in published matrices, often arising from small sample sizes or limited temporal replication, and can systematically displace point estimates of derived traits from the centre of their sampling distributions. These effects are not well captured by empirical bootstrapping, which cannot generate variation when all individuals experience the same outcome. Notably, survival estimates of 100% occur in 24% of species-averaged MPMs in COMPADRE (though only 7% in COMADRE), indicating that this is not a rare edge case.</w:t>
      </w:r>
    </w:p>
    <w:bookmarkEnd w:id="39"/>
    <w:bookmarkStart w:id="40"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Several diagnostic features can help identify analyses that are likely to be fragile:</w:t>
      </w:r>
    </w:p>
    <w:p>
      <w:pPr>
        <w:pStyle w:val="Compact"/>
        <w:numPr>
          <w:ilvl w:val="0"/>
          <w:numId w:val="1002"/>
        </w:numPr>
      </w:pPr>
      <w:r>
        <w:t xml:space="preserve">Stage-specific survival estimates equal or close to 1 or 0</w:t>
      </w:r>
    </w:p>
    <w:p>
      <w:pPr>
        <w:pStyle w:val="Compact"/>
        <w:numPr>
          <w:ilvl w:val="0"/>
          <w:numId w:val="1002"/>
        </w:numPr>
      </w:pPr>
      <w:r>
        <w:t xml:space="preserve">Very small sample sizes underlying key transitions</w:t>
      </w:r>
    </w:p>
    <w:p>
      <w:pPr>
        <w:pStyle w:val="Compact"/>
        <w:numPr>
          <w:ilvl w:val="0"/>
          <w:numId w:val="1002"/>
        </w:numPr>
      </w:pPr>
      <w:r>
        <w:t xml:space="preserve">Matrices with only a single reproductive stage class</w:t>
      </w:r>
    </w:p>
    <w:p>
      <w:pPr>
        <w:pStyle w:val="Compact"/>
        <w:numPr>
          <w:ilvl w:val="0"/>
          <w:numId w:val="1002"/>
        </w:numPr>
      </w:pPr>
      <w:r>
        <w:t xml:space="preserve">Time to quasi-stable distribution that is short relative to estimated life expectancy</w:t>
      </w:r>
    </w:p>
    <w:p>
      <w:pPr>
        <w:pStyle w:val="FirstParagraph"/>
      </w:pPr>
      <w:r>
        <w:t xml:space="preserve">Here, key transitions are matrix elements with strong influence on the focal derived quantity.</w:t>
      </w:r>
    </w:p>
    <w:p>
      <w:pPr>
        <w:pStyle w:val="BodyText"/>
      </w:pPr>
      <w:r>
        <w:t xml:space="preserve">When one or more of these features are present, point estimates derived from MPMs may be biased or overconfident, even if they appear precise. Importantly, the absence of a detectable effect of sampling uncertainty in some analyses, such as our climate-recruitment analysis, should not be taken as evidence that uncertainty propagation is unnecessary. Rather, it underscores the need for a trait- and context-specific assessment of robustness.</w:t>
      </w:r>
    </w:p>
    <w:bookmarkEnd w:id="40"/>
    <w:bookmarkStart w:id="41"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1"/>
    <w:bookmarkStart w:id="42"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2"/>
    <w:bookmarkStart w:id="43"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3"/>
    <w:bookmarkEnd w:id="44"/>
    <w:bookmarkStart w:id="45"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5"/>
    <w:bookmarkStart w:id="46" w:name="data-availability"/>
    <w:p>
      <w:pPr>
        <w:pStyle w:val="Heading1"/>
      </w:pPr>
      <w:r>
        <w:t xml:space="preserve">Data availability</w:t>
      </w:r>
    </w:p>
    <w:p>
      <w:pPr>
        <w:pStyle w:val="FirstParagraph"/>
      </w:pPr>
      <w:r>
        <w:t xml:space="preserve">Data and code required to reproduce our analyses are archived on Zenodo ([DOI to be added upon deposition]).</w:t>
      </w:r>
    </w:p>
    <w:bookmarkEnd w:id="46"/>
    <w:bookmarkStart w:id="47"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3"/>
        </w:numPr>
      </w:pPr>
      <w:r>
        <w:rPr>
          <w:b/>
          <w:bCs/>
        </w:rPr>
        <w:t xml:space="preserve">Supplementary Methods S1.1</w:t>
      </w:r>
      <w:r>
        <w:t xml:space="preserve">: Sampling-distribution workflow used for each MPM.</w:t>
      </w:r>
    </w:p>
    <w:p>
      <w:pPr>
        <w:pStyle w:val="Compact"/>
        <w:numPr>
          <w:ilvl w:val="0"/>
          <w:numId w:val="1003"/>
        </w:numPr>
      </w:pPr>
      <w:r>
        <w:rPr>
          <w:b/>
          <w:bCs/>
        </w:rPr>
        <w:t xml:space="preserve">Supplementary Methods S1.2</w:t>
      </w:r>
      <w:r>
        <w:t xml:space="preserve">: Age-from-stage derivation, truncation, and shape metric.</w:t>
      </w:r>
    </w:p>
    <w:p>
      <w:pPr>
        <w:pStyle w:val="Compact"/>
        <w:numPr>
          <w:ilvl w:val="0"/>
          <w:numId w:val="1003"/>
        </w:numPr>
      </w:pPr>
      <w:r>
        <w:rPr>
          <w:b/>
          <w:bCs/>
        </w:rPr>
        <w:t xml:space="preserve">Supplementary Methods S1.3</w:t>
      </w:r>
      <w:r>
        <w:t xml:space="preserve">: Pooled and mean MPM handling.</w:t>
      </w:r>
    </w:p>
    <w:p>
      <w:pPr>
        <w:pStyle w:val="Compact"/>
        <w:numPr>
          <w:ilvl w:val="0"/>
          <w:numId w:val="1003"/>
        </w:numPr>
      </w:pPr>
      <w:r>
        <w:rPr>
          <w:b/>
          <w:bCs/>
        </w:rPr>
        <w:t xml:space="preserve">Supplementary Methods S1.4</w:t>
      </w:r>
      <w:r>
        <w:t xml:space="preserve">: Bayesian model priors and fitting settings.</w:t>
      </w:r>
    </w:p>
    <w:p>
      <w:pPr>
        <w:pStyle w:val="Compact"/>
        <w:numPr>
          <w:ilvl w:val="0"/>
          <w:numId w:val="1003"/>
        </w:numPr>
      </w:pPr>
      <w:r>
        <w:rPr>
          <w:b/>
          <w:bCs/>
        </w:rPr>
        <w:t xml:space="preserve">Supplementary Methods S1.5</w:t>
      </w:r>
      <w:r>
        <w:t xml:space="preserve">: Variance-component summary (sampling-to-other ratio).</w:t>
      </w:r>
    </w:p>
    <w:p>
      <w:pPr>
        <w:pStyle w:val="Compact"/>
        <w:numPr>
          <w:ilvl w:val="0"/>
          <w:numId w:val="1003"/>
        </w:numPr>
      </w:pPr>
      <w:r>
        <w:rPr>
          <w:b/>
          <w:bCs/>
        </w:rPr>
        <w:t xml:space="preserve">Supplementary Methods S1.6</w:t>
      </w:r>
      <w:r>
        <w:t xml:space="preserve">: Simplified spring-temperature model (analysis 2).</w:t>
      </w:r>
    </w:p>
    <w:p>
      <w:pPr>
        <w:pStyle w:val="Compact"/>
        <w:numPr>
          <w:ilvl w:val="0"/>
          <w:numId w:val="1003"/>
        </w:numPr>
      </w:pPr>
      <w:r>
        <w:rPr>
          <w:b/>
          <w:bCs/>
        </w:rPr>
        <w:t xml:space="preserve">Supplementary Methods S1.7</w:t>
      </w:r>
      <w:r>
        <w:t xml:space="preserve">: Reporting recommendations for future MPM studies.</w:t>
      </w:r>
    </w:p>
    <w:p>
      <w:pPr>
        <w:pStyle w:val="Compact"/>
        <w:numPr>
          <w:ilvl w:val="0"/>
          <w:numId w:val="1003"/>
        </w:numPr>
      </w:pPr>
      <w:r>
        <w:rPr>
          <w:b/>
          <w:bCs/>
        </w:rPr>
        <w:t xml:space="preserve">Supplementary Methods S1.8</w:t>
      </w:r>
      <w:r>
        <w:t xml:space="preserve">: Species identities in analysis 1.</w:t>
      </w:r>
    </w:p>
    <w:p>
      <w:pPr>
        <w:pStyle w:val="Compact"/>
        <w:numPr>
          <w:ilvl w:val="0"/>
          <w:numId w:val="1003"/>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3"/>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3"/>
        </w:numPr>
      </w:pPr>
      <w:r>
        <w:rPr>
          <w:b/>
          <w:bCs/>
        </w:rPr>
        <w:t xml:space="preserve">Table S3</w:t>
      </w:r>
      <w:r>
        <w:t xml:space="preserve">: Analysis 1 posterior summary for the slope parameter (β) in the life expectancy-shape model.</w:t>
      </w:r>
    </w:p>
    <w:p>
      <w:pPr>
        <w:pStyle w:val="Compact"/>
        <w:numPr>
          <w:ilvl w:val="0"/>
          <w:numId w:val="1003"/>
        </w:numPr>
      </w:pPr>
      <w:r>
        <w:rPr>
          <w:b/>
          <w:bCs/>
        </w:rPr>
        <w:t xml:space="preserve">Table S4</w:t>
      </w:r>
      <w:r>
        <w:t xml:space="preserve">: Analysis 2 Gaussian-process regression coefficients (monthly lags) for recruitment responses to temperature anomalies.</w:t>
      </w:r>
    </w:p>
    <w:p>
      <w:pPr>
        <w:pStyle w:val="Compact"/>
        <w:numPr>
          <w:ilvl w:val="0"/>
          <w:numId w:val="1003"/>
        </w:numPr>
      </w:pPr>
      <w:r>
        <w:rPr>
          <w:b/>
          <w:bCs/>
        </w:rPr>
        <w:t xml:space="preserve">Table S5</w:t>
      </w:r>
      <w:r>
        <w:t xml:space="preserve">: Analysis 2 posterior summary for the spring-temperature coefficient.</w:t>
      </w:r>
    </w:p>
    <w:p>
      <w:pPr>
        <w:pStyle w:val="Compact"/>
        <w:numPr>
          <w:ilvl w:val="0"/>
          <w:numId w:val="1003"/>
        </w:numPr>
      </w:pPr>
      <w:r>
        <w:rPr>
          <w:b/>
          <w:bCs/>
        </w:rPr>
        <w:t xml:space="preserve">Table S6</w:t>
      </w:r>
      <w:r>
        <w:t xml:space="preserve">: Primary studies represented in the analysis subset, as identified in COMPADRE.</w:t>
      </w:r>
    </w:p>
    <w:p>
      <w:pPr>
        <w:pStyle w:val="Compact"/>
        <w:numPr>
          <w:ilvl w:val="0"/>
          <w:numId w:val="1003"/>
        </w:numPr>
      </w:pPr>
      <w:r>
        <w:rPr>
          <w:b/>
          <w:bCs/>
        </w:rPr>
        <w:t xml:space="preserve">Figure S1</w:t>
      </w:r>
      <w:r>
        <w:t xml:space="preserve">: Boundary-estimate diagnostic.</w:t>
      </w:r>
    </w:p>
    <w:p>
      <w:pPr>
        <w:pStyle w:val="Compact"/>
        <w:numPr>
          <w:ilvl w:val="0"/>
          <w:numId w:val="1003"/>
        </w:numPr>
      </w:pPr>
      <w:r>
        <w:rPr>
          <w:b/>
          <w:bCs/>
        </w:rPr>
        <w:t xml:space="preserve">Figure S2</w:t>
      </w:r>
      <w:r>
        <w:t xml:space="preserve">: Illustration of survivorship trajectories under boundary survival transitions.</w:t>
      </w:r>
    </w:p>
    <w:p>
      <w:r>
        <w:br w:type="page"/>
      </w:r>
    </w:p>
    <w:bookmarkEnd w:id="47"/>
    <w:bookmarkStart w:id="51"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p>
    <w:p>
      <w:pPr>
        <w:pStyle w:val="BodyText"/>
      </w:pPr>
      <w:r>
        <w:t xml:space="preserve">Bailey, R. T. (1997) Estimation from zero-failure data.</w:t>
      </w:r>
      <w:r>
        <w:t xml:space="preserve"> </w:t>
      </w:r>
      <w:r>
        <w:rPr>
          <w:i/>
          <w:iCs/>
        </w:rPr>
        <w:t xml:space="preserve">Risk Analysis</w:t>
      </w:r>
      <w:r>
        <w:t xml:space="preserve">, 17, 375-380.</w:t>
      </w:r>
    </w:p>
    <w:p>
      <w:pPr>
        <w:pStyle w:val="BodyText"/>
      </w:pPr>
      <w:r>
        <w:t xml:space="preserve">Baudisch, A. (2011) The pace and shape of ageing.</w:t>
      </w:r>
      <w:r>
        <w:t xml:space="preserve"> </w:t>
      </w:r>
      <w:r>
        <w:rPr>
          <w:i/>
          <w:iCs/>
        </w:rPr>
        <w:t xml:space="preserve">Methods in Ecology and Evolution</w:t>
      </w:r>
      <w:r>
        <w:t xml:space="preserve">, 2, 375-382.</w:t>
      </w:r>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p>
    <w:p>
      <w:pPr>
        <w:pStyle w:val="BodyText"/>
      </w:pPr>
      <w:r>
        <w:t xml:space="preserve">Caswell, H. (2001) Matrix population models: construction, analysis, and interpretation,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48">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p>
    <w:p>
      <w:pPr>
        <w:pStyle w:val="BodyText"/>
      </w:pPr>
      <w:r>
        <w:t xml:space="preserve">McElreath, R. (2020) Statistical rethinking: A Bayesian course with examples in R and Stan, 2nd ed. Chapman and Hall/CRC.</w:t>
      </w:r>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p>
    <w:p>
      <w:pPr>
        <w:pStyle w:val="BodyText"/>
      </w:pPr>
      <w:r>
        <w:t xml:space="preserve">Myhrvold, N. P., Baldridge, E., Chan, B., Sivam, D., Freeman, D. L., &amp; Ernest, S. M. (2015) An amniote life-history database to perform comparative analyses with birds, mammals, and reptiles.</w:t>
      </w:r>
      <w:r>
        <w:t xml:space="preserve"> </w:t>
      </w:r>
      <w:r>
        <w:rPr>
          <w:i/>
          <w:iCs/>
        </w:rPr>
        <w:t xml:space="preserve">Ecology</w:t>
      </w:r>
      <w:r>
        <w:t xml:space="preserve">, 96, 3109-3109.</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p>
    <w:p>
      <w:pPr>
        <w:pStyle w:val="BodyText"/>
      </w:pPr>
      <w:r>
        <w:t xml:space="preserve">Simmonds, E. G., &amp;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49">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50">
        <w:r>
          <w:rPr>
            <w:rStyle w:val="Hyperlink"/>
          </w:rPr>
          <w:t xml:space="preserve">https://mc-stan.org/</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p>
    <w:p>
      <w:pPr>
        <w:pStyle w:val="BodyText"/>
      </w:pPr>
      <w:r>
        <w:t xml:space="preserve">Wrycza, T. F., Missov, T. I., and Baudisch, A. (2015) Quantifying the shape of aging.</w:t>
      </w:r>
      <w:r>
        <w:t xml:space="preserve"> </w:t>
      </w:r>
      <w:r>
        <w:rPr>
          <w:i/>
          <w:iCs/>
        </w:rPr>
        <w:t xml:space="preserve">PloS ONE</w:t>
      </w:r>
      <w:r>
        <w:t xml:space="preserve">, 10, e0119163.</w:t>
      </w:r>
    </w:p>
    <w:p>
      <w:r>
        <w:br w:type="page"/>
      </w:r>
    </w:p>
    <w:bookmarkEnd w:id="51"/>
    <w:bookmarkStart w:id="53" w:name="tables"/>
    <w:p>
      <w:pPr>
        <w:pStyle w:val="Heading1"/>
      </w:pPr>
      <w:r>
        <w:t xml:space="preserve">Tables</w:t>
      </w:r>
    </w:p>
    <w:p>
      <w:pPr>
        <w:pStyle w:val="TableCaption"/>
      </w:pPr>
      <w:bookmarkStart w:id="52" w:name="tab:table-case1-var"/>
      <w:bookmarkEnd w:id="52"/>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r>
    </w:tbl>
    <w:p>
      <w:r>
        <w:br w:type="page"/>
      </w:r>
    </w:p>
    <w:bookmarkEnd w:id="53"/>
    <w:bookmarkStart w:id="74" w:name="figures"/>
    <w:p>
      <w:pPr>
        <w:pStyle w:val="Heading1"/>
      </w:pPr>
      <w:r>
        <w:t xml:space="preserve">Figures</w:t>
      </w:r>
    </w:p>
    <w:p>
      <w:pPr>
        <w:pStyle w:val="CaptionedFigure"/>
      </w:pPr>
      <w:r>
        <w:drawing>
          <wp:inline>
            <wp:extent cx="5943600" cy="1981199"/>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Together, these panels show that several matrix elements are weakly estimated from finite samples." title="" id="55" name="Picture"/>
            <a:graphic>
              <a:graphicData uri="http://schemas.openxmlformats.org/drawingml/2006/picture">
                <pic:pic>
                  <pic:nvPicPr>
                    <pic:cNvPr descr="../../figures/fig1_top.png" id="56" name="Picture"/>
                    <pic:cNvPicPr>
                      <a:picLocks noChangeArrowheads="1" noChangeAspect="1"/>
                    </pic:cNvPicPr>
                  </pic:nvPicPr>
                  <pic:blipFill>
                    <a:blip r:embed="rId54"/>
                    <a:stretch>
                      <a:fillRect/>
                    </a:stretch>
                  </pic:blipFill>
                  <pic:spPr bwMode="auto">
                    <a:xfrm>
                      <a:off x="0" y="0"/>
                      <a:ext cx="5943600" cy="1981199"/>
                    </a:xfrm>
                    <a:prstGeom prst="rect">
                      <a:avLst/>
                    </a:prstGeom>
                    <a:noFill/>
                    <a:ln w="9525">
                      <a:noFill/>
                      <a:headEnd/>
                      <a:tailEnd/>
                    </a:ln>
                  </pic:spPr>
                </pic:pic>
              </a:graphicData>
            </a:graphic>
          </wp:inline>
        </w:drawing>
      </w:r>
    </w:p>
    <w:p>
      <w:pPr>
        <w:pStyle w:val="ImageCaption"/>
      </w:pPr>
      <w:bookmarkStart w:id="57" w:name="fig:fig-main-1a"/>
      <w:bookmarkEnd w:id="57"/>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Together, these panels show that several matrix elements are weakly estimated from finite samples.</w:t>
      </w:r>
    </w:p>
    <w:p>
      <w:r>
        <w:br w:type="page"/>
      </w:r>
    </w:p>
    <w:p>
      <w:pPr>
        <w:pStyle w:val="CaptionedFigure"/>
      </w:pPr>
      <w:r>
        <w:drawing>
          <wp:inline>
            <wp:extent cx="5943600" cy="2447364"/>
            <wp:effectExtent b="0" l="0" r="0" t="0"/>
            <wp:docPr descr="Figure 2: Sampling distributions of demographic quantities derived from the focal single MPM, including population growth rate (λ), damping ratio (ρ), generation time (T), and life expectancy (l₀). Uncertainty in transition rates propagates to substantial uncertainty in these derived parameters, with the largest spread in quantities that depend on long-term survivorship and reproduction." title="" id="59" name="Picture"/>
            <a:graphic>
              <a:graphicData uri="http://schemas.openxmlformats.org/drawingml/2006/picture">
                <pic:pic>
                  <pic:nvPicPr>
                    <pic:cNvPr descr="../../figures/fig1_bottom.png" id="60" name="Picture"/>
                    <pic:cNvPicPr>
                      <a:picLocks noChangeArrowheads="1" noChangeAspect="1"/>
                    </pic:cNvPicPr>
                  </pic:nvPicPr>
                  <pic:blipFill>
                    <a:blip r:embed="rId58"/>
                    <a:stretch>
                      <a:fillRect/>
                    </a:stretch>
                  </pic:blipFill>
                  <pic:spPr bwMode="auto">
                    <a:xfrm>
                      <a:off x="0" y="0"/>
                      <a:ext cx="5943600" cy="2447364"/>
                    </a:xfrm>
                    <a:prstGeom prst="rect">
                      <a:avLst/>
                    </a:prstGeom>
                    <a:noFill/>
                    <a:ln w="9525">
                      <a:noFill/>
                      <a:headEnd/>
                      <a:tailEnd/>
                    </a:ln>
                  </pic:spPr>
                </pic:pic>
              </a:graphicData>
            </a:graphic>
          </wp:inline>
        </w:drawing>
      </w:r>
    </w:p>
    <w:p>
      <w:pPr>
        <w:pStyle w:val="ImageCaption"/>
      </w:pPr>
      <w:bookmarkStart w:id="61" w:name="fig:fig-main-1b"/>
      <w:bookmarkEnd w:id="61"/>
      <w:r>
        <w:t xml:space="preserve">Figure 2: Sampling distributions of demographic quantities derived from the focal single MPM, including population growth rate (λ), damping ratio (ρ), generation time (T), and life expectancy (l₀).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5046020" cy="6880936"/>
            <wp:effectExtent b="0" l="0" r="0" t="0"/>
            <wp:docPr descr="Figure 3: Analysis 1 comparison of point estimates versus sampling-distribution summaries for population-level life expectancy and shape. Panel A shows mortality-trajectory shape, and Panel B shows mature life expectancy. In each panel, distributions are shown for estimates derived directly from matrix point estimates and for uncertainty-aware summaries, showing systematic shifts and shrinkage in extreme values when sampling uncertainty is propagated." title="" id="63" name="Picture"/>
            <a:graphic>
              <a:graphicData uri="http://schemas.openxmlformats.org/drawingml/2006/picture">
                <pic:pic>
                  <pic:nvPicPr>
                    <pic:cNvPr descr="../../figures/fig2_shape_l0_distributions.png" id="64" name="Picture"/>
                    <pic:cNvPicPr>
                      <a:picLocks noChangeArrowheads="1" noChangeAspect="1"/>
                    </pic:cNvPicPr>
                  </pic:nvPicPr>
                  <pic:blipFill>
                    <a:blip r:embed="rId62"/>
                    <a:stretch>
                      <a:fillRect/>
                    </a:stretch>
                  </pic:blipFill>
                  <pic:spPr bwMode="auto">
                    <a:xfrm>
                      <a:off x="0" y="0"/>
                      <a:ext cx="5046020" cy="6880936"/>
                    </a:xfrm>
                    <a:prstGeom prst="rect">
                      <a:avLst/>
                    </a:prstGeom>
                    <a:noFill/>
                    <a:ln w="9525">
                      <a:noFill/>
                      <a:headEnd/>
                      <a:tailEnd/>
                    </a:ln>
                  </pic:spPr>
                </pic:pic>
              </a:graphicData>
            </a:graphic>
          </wp:inline>
        </w:drawing>
      </w:r>
    </w:p>
    <w:p>
      <w:pPr>
        <w:pStyle w:val="ImageCaption"/>
      </w:pPr>
      <w:bookmarkStart w:id="65" w:name="fig:fig-main-2"/>
      <w:bookmarkEnd w:id="65"/>
      <w:r>
        <w:t xml:space="preserve">Figure 3: Analysis 1 comparison of point estimates versus sampling-distribution summaries for population-level life expectancy and shape. Panel A shows mortality-trajectory shape, and Panel B shows mature life expectancy. In each panel, distributions are shown for estimates derived directly from matrix point estimates and for uncertainty-aware summaries, showing systematic shifts and shrinkage in extreme values when sampling uncertainty is propagated.</w:t>
      </w:r>
    </w:p>
    <w:p>
      <w:r>
        <w:br w:type="page"/>
      </w:r>
    </w:p>
    <w:p>
      <w:pPr>
        <w:pStyle w:val="CaptionedFigure"/>
      </w:pPr>
      <w:r>
        <w:drawing>
          <wp:inline>
            <wp:extent cx="5943600" cy="2936837"/>
            <wp:effectExtent b="0" l="0" r="0" t="0"/>
            <wp:docPr descr="Figure 4: Analysis 1 relationship between life expectancy and shape under models with and without sampling uncertainty propagation. In panel A, open circles are point estimates, while crosses are centred on sampling-distribution medians with horizontal and vertical bars showing 95% intervals. Panel B shows posterior distributions for the slope parameter (β). This figure shows that accounting for sampling uncertainty shifts posterior support towards a positive association." title="" id="67" name="Picture"/>
            <a:graphic>
              <a:graphicData uri="http://schemas.openxmlformats.org/drawingml/2006/picture">
                <pic:pic>
                  <pic:nvPicPr>
                    <pic:cNvPr descr="../../figures/fig3_shape_l0_regression.png" id="68" name="Picture"/>
                    <pic:cNvPicPr>
                      <a:picLocks noChangeArrowheads="1" noChangeAspect="1"/>
                    </pic:cNvPicPr>
                  </pic:nvPicPr>
                  <pic:blipFill>
                    <a:blip r:embed="rId66"/>
                    <a:stretch>
                      <a:fillRect/>
                    </a:stretch>
                  </pic:blipFill>
                  <pic:spPr bwMode="auto">
                    <a:xfrm>
                      <a:off x="0" y="0"/>
                      <a:ext cx="5943600" cy="2936837"/>
                    </a:xfrm>
                    <a:prstGeom prst="rect">
                      <a:avLst/>
                    </a:prstGeom>
                    <a:noFill/>
                    <a:ln w="9525">
                      <a:noFill/>
                      <a:headEnd/>
                      <a:tailEnd/>
                    </a:ln>
                  </pic:spPr>
                </pic:pic>
              </a:graphicData>
            </a:graphic>
          </wp:inline>
        </w:drawing>
      </w:r>
    </w:p>
    <w:p>
      <w:pPr>
        <w:pStyle w:val="ImageCaption"/>
      </w:pPr>
      <w:bookmarkStart w:id="69" w:name="fig:fig-main-3"/>
      <w:bookmarkEnd w:id="69"/>
      <w:r>
        <w:t xml:space="preserve">Figure 4: Analysis 1 relationship between life expectancy and shape under models with and without sampling uncertainty propagation. In panel A, open circles are point estimates, while crosses are centred on sampling-distribution medians with horizontal and vertical bars showing 95% intervals. Panel B shows posterior distributions for the slope parameter (β). This figure shows that accounting for sampling uncertainty shifts posterior support towards a positive association.</w:t>
      </w:r>
    </w:p>
    <w:p>
      <w:r>
        <w:br w:type="page"/>
      </w:r>
    </w:p>
    <w:p>
      <w:pPr>
        <w:pStyle w:val="CaptionedFigure"/>
      </w:pPr>
      <w:r>
        <w:drawing>
          <wp:inline>
            <wp:extent cx="5734113" cy="4128561"/>
            <wp:effectExtent b="0" l="0" r="0" t="0"/>
            <wp:docPr descr="Figure 5: Analysis 2 climate effects on recruitment in Silene spaldingii. Monthly-lag and spring-temperature models are shown for both point-estimate and uncertainty-aware formulations; posterior coefficient estimates and interval widths are similar across formulations, showing limited sensitivity of this analysis to transition-rate sampling uncertainty." title="" id="71" name="Picture"/>
            <a:graphic>
              <a:graphicData uri="http://schemas.openxmlformats.org/drawingml/2006/picture">
                <pic:pic>
                  <pic:nvPicPr>
                    <pic:cNvPr descr="../../figures/clim.png" id="72" name="Picture"/>
                    <pic:cNvPicPr>
                      <a:picLocks noChangeArrowheads="1" noChangeAspect="1"/>
                    </pic:cNvPicPr>
                  </pic:nvPicPr>
                  <pic:blipFill>
                    <a:blip r:embed="rId70"/>
                    <a:stretch>
                      <a:fillRect/>
                    </a:stretch>
                  </pic:blipFill>
                  <pic:spPr bwMode="auto">
                    <a:xfrm>
                      <a:off x="0" y="0"/>
                      <a:ext cx="5734113" cy="4128561"/>
                    </a:xfrm>
                    <a:prstGeom prst="rect">
                      <a:avLst/>
                    </a:prstGeom>
                    <a:noFill/>
                    <a:ln w="9525">
                      <a:noFill/>
                      <a:headEnd/>
                      <a:tailEnd/>
                    </a:ln>
                  </pic:spPr>
                </pic:pic>
              </a:graphicData>
            </a:graphic>
          </wp:inline>
        </w:drawing>
      </w:r>
    </w:p>
    <w:p>
      <w:pPr>
        <w:pStyle w:val="ImageCaption"/>
      </w:pPr>
      <w:bookmarkStart w:id="73" w:name="fig:fig-main-4"/>
      <w:bookmarkEnd w:id="73"/>
      <w:r>
        <w:t xml:space="preserve">Figure 5: Analysis 2 climate effects on recruitment in</w:t>
      </w:r>
      <w:r>
        <w:t xml:space="preserve"> </w:t>
      </w:r>
      <w:r>
        <w:rPr>
          <w:i/>
          <w:iCs/>
        </w:rPr>
        <w:t xml:space="preserve">Silene spaldingii</w:t>
      </w:r>
      <w:r>
        <w:t xml:space="preserve">. Monthly-lag and spring-temperature models are shown for both point-estimate and uncertainty-aware formulations; posterior coefficient estimates and interval widths are similar across formulations, showing limited sensitivity of this analysis to transition-rate sampling uncertainty.</w:t>
      </w:r>
    </w:p>
    <w:bookmarkEnd w:id="74"/>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48" Target="https://doi.org/10.1038/s41559-019-0938-7" TargetMode="External" /><Relationship Type="http://schemas.openxmlformats.org/officeDocument/2006/relationships/hyperlink" Id="rId49" Target="https://doi.org/10.1111/2041-210X.14276" TargetMode="External" /><Relationship Type="http://schemas.openxmlformats.org/officeDocument/2006/relationships/hyperlink" Id="rId50" Target="https://mc-stan.org/"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38/s41559-019-0938-7" TargetMode="External" /><Relationship Type="http://schemas.openxmlformats.org/officeDocument/2006/relationships/hyperlink" Id="rId49" Target="https://doi.org/10.1111/2041-210X.14276" TargetMode="External" /><Relationship Type="http://schemas.openxmlformats.org/officeDocument/2006/relationships/hyperlink" Id="rId50" Target="https://mc-stan.org/"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2026-02-27T16:52:49Z</dcterms:created>
  <dcterms:modified xsi:type="dcterms:W3CDTF">2026-02-27T16:52:49Z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