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p>
      <w:pPr>
        <w:pStyle w:val="Subtitle"/>
      </w:pPr>
      <w:r>
        <w:t xml:space="preserve">When does sampling uncertainty matter in matrix population models? Evidence from published projection matrices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8" w:name="supplementary-methods"/>
    <w:p>
      <w:pPr>
        <w:pStyle w:val="Heading1"/>
      </w:pPr>
      <w:r>
        <w:t xml:space="preserve">Supplementary Methods</w:t>
      </w:r>
    </w:p>
    <w:bookmarkStart w:id="20"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20"/>
    <w:bookmarkStart w:id="21"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21"/>
    <w:bookmarkStart w:id="22" w:name="s1.3-pooled-and-mean-mpm-handling"/>
    <w:p>
      <w:pPr>
        <w:pStyle w:val="Heading2"/>
      </w:pPr>
      <w:r>
        <w:t xml:space="preserve">S1.3 Pooled and mean MPM handling</w:t>
      </w:r>
    </w:p>
    <w:p>
      <w:pPr>
        <w:pStyle w:val="FirstParagraph"/>
      </w:pPr>
      <w:r>
        <w:t xml:space="preserve">Where population-level pooled MPMs were available, they were used; otherwise, mean MPMs were used.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22"/>
    <w:bookmarkStart w:id="23"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1"/>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1"/>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FirstParagraph"/>
      </w:pPr>
      <w:r>
        <w:t xml:space="preserve">Fitting settings used in scripts:</w:t>
      </w:r>
    </w:p>
    <w:p>
      <w:pPr>
        <w:pStyle w:val="Compact"/>
        <w:numPr>
          <w:ilvl w:val="0"/>
          <w:numId w:val="1002"/>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2"/>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bookmarkEnd w:id="23"/>
    <w:bookmarkStart w:id="24"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3"/>
        </w:numPr>
      </w:pPr>
      <w:r>
        <w:t xml:space="preserve">sampling component: mean within-MPM sampling variance from bootstrap draws;</w:t>
      </w:r>
    </w:p>
    <w:p>
      <w:pPr>
        <w:pStyle w:val="Compact"/>
        <w:numPr>
          <w:ilvl w:val="0"/>
          <w:numId w:val="1003"/>
        </w:numPr>
      </w:pPr>
      <w:r>
        <w:t xml:space="preserve">residual component: remaining variance among populations/species.</w:t>
      </w:r>
    </w:p>
    <w:p>
      <w:pPr>
        <w:pStyle w:val="FirstParagraph"/>
      </w:pPr>
      <w:r>
        <w:t xml:space="preserve">The reported summary is Eq. (1):</w:t>
      </w:r>
    </w:p>
    <w:p>
      <w:pPr>
        <w:pStyle w:val="BodyText"/>
      </w:pPr>
      <m:oMathPara>
        <m:oMathParaPr>
          <m:jc m:val="center"/>
        </m:oMathParaPr>
        <m:oMath>
          <m:r>
            <m:rPr>
              <m:nor/>
              <m:sty m:val="p"/>
            </m:rPr>
            <m:t>ratio</m:t>
          </m:r>
          <m:r>
            <m:rPr>
              <m:sty m:val="p"/>
            </m:rPr>
            <m:t>=</m:t>
          </m:r>
          <m:f>
            <m:fPr>
              <m:type m:val="bar"/>
            </m:fPr>
            <m:num>
              <m:sSubSup>
                <m:e>
                  <m:r>
                    <m:t>σ</m:t>
                  </m:r>
                </m:e>
                <m:sub>
                  <m:r>
                    <m:rPr>
                      <m:nor/>
                      <m:sty m:val="p"/>
                    </m:rPr>
                    <m:t>sampling</m:t>
                  </m:r>
                </m:sub>
                <m:sup>
                  <m:r>
                    <m:t>2</m:t>
                  </m:r>
                </m:sup>
              </m:sSubSup>
            </m:num>
            <m:den>
              <m:sSubSup>
                <m:e>
                  <m:r>
                    <m:t>σ</m:t>
                  </m:r>
                </m:e>
                <m:sub>
                  <m:r>
                    <m:rPr>
                      <m:nor/>
                      <m:sty m:val="p"/>
                    </m:rPr>
                    <m:t>residual</m:t>
                  </m:r>
                </m:sub>
                <m:sup>
                  <m:r>
                    <m:t>2</m:t>
                  </m:r>
                </m:sup>
              </m:sSubSup>
            </m:den>
          </m:f>
          <m:r>
            <m:t>  </m:t>
          </m:r>
          <m:d>
            <m:dPr>
              <m:begChr m:val="("/>
              <m:sepChr m:val=""/>
              <m:endChr m:val=")"/>
              <m:grow/>
            </m:dPr>
            <m:e>
              <m:r>
                <m:t>1</m:t>
              </m:r>
            </m:e>
          </m:d>
        </m:oMath>
      </m:oMathPara>
    </w:p>
    <w:p>
      <w:pPr>
        <w:pStyle w:val="FirstParagraph"/>
      </w:pPr>
      <w:r>
        <w:t xml:space="preserve">Ratios above 1 indicate that sampling uncertainty exceeds residual biological variation for that parameter.</w:t>
      </w:r>
    </w:p>
    <w:bookmarkEnd w:id="24"/>
    <w:bookmarkStart w:id="25"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bookmarkEnd w:id="25"/>
    <w:bookmarkStart w:id="26"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4"/>
        </w:numPr>
      </w:pPr>
      <w:r>
        <w:t xml:space="preserve">transition-level sample sizes for each matrix element (or reconstructable transition count tables);</w:t>
      </w:r>
    </w:p>
    <w:p>
      <w:pPr>
        <w:pStyle w:val="Compact"/>
        <w:numPr>
          <w:ilvl w:val="0"/>
          <w:numId w:val="1004"/>
        </w:numPr>
      </w:pPr>
      <w:r>
        <w:t xml:space="preserve">clear identification of pooled/mean matrices and pooling rules;</w:t>
      </w:r>
    </w:p>
    <w:p>
      <w:pPr>
        <w:pStyle w:val="Compact"/>
        <w:numPr>
          <w:ilvl w:val="0"/>
          <w:numId w:val="1004"/>
        </w:numPr>
      </w:pPr>
      <w:r>
        <w:t xml:space="preserve">uncertainty estimates on model-appropriate scales (e.g. linear predictor where relevant);</w:t>
      </w:r>
    </w:p>
    <w:p>
      <w:pPr>
        <w:pStyle w:val="Compact"/>
        <w:numPr>
          <w:ilvl w:val="0"/>
          <w:numId w:val="1004"/>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26"/>
    <w:bookmarkStart w:id="27" w:name="s1.8-species-identities-in-analysis-1"/>
    <w:p>
      <w:pPr>
        <w:pStyle w:val="Heading2"/>
      </w:pPr>
      <w:r>
        <w:t xml:space="preserve">S1.8 Species identities in analysis 1</w:t>
      </w:r>
    </w:p>
    <w:p>
      <w:pPr>
        <w:pStyle w:val="FirstParagraph"/>
      </w:pPr>
      <w:r>
        <w:t xml:space="preserve">Analysis 1 used 67 population-level entries representing 26 species (SpeciesAuthor labels from COMPADRE):</w:t>
      </w:r>
    </w:p>
    <w:p>
      <w:pPr>
        <w:pStyle w:val="BodyText"/>
      </w:pPr>
      <w:r>
        <w:rPr>
          <w:i/>
          <w:iCs/>
        </w:rPr>
        <w:t xml:space="preserve">Agave potatorum</w:t>
      </w:r>
      <w:r>
        <w:t xml:space="preserve">,</w:t>
      </w:r>
      <w:r>
        <w:t xml:space="preserve"> </w:t>
      </w:r>
      <w:r>
        <w:rPr>
          <w:i/>
          <w:iCs/>
        </w:rPr>
        <w:t xml:space="preserve">Agrimonia eupatoria</w:t>
      </w:r>
      <w:r>
        <w:t xml:space="preserve">,</w:t>
      </w:r>
      <w:r>
        <w:t xml:space="preserve"> </w:t>
      </w:r>
      <w:r>
        <w:rPr>
          <w:i/>
          <w:iCs/>
        </w:rPr>
        <w:t xml:space="preserve">Astragalus peckii</w:t>
      </w:r>
      <w:r>
        <w:t xml:space="preserve">,</w:t>
      </w:r>
      <w:r>
        <w:t xml:space="preserve"> </w:t>
      </w:r>
      <w:r>
        <w:rPr>
          <w:i/>
          <w:iCs/>
        </w:rPr>
        <w:t xml:space="preserve">Astragalus scaphoides</w:t>
      </w:r>
      <w:r>
        <w:t xml:space="preserve"> </w:t>
      </w:r>
      <w:r>
        <w:t xml:space="preserve">(labelled</w:t>
      </w:r>
      <w:r>
        <w:t xml:space="preserve"> </w:t>
      </w:r>
      <w:r>
        <w:rPr>
          <w:rStyle w:val="VerbatimChar"/>
        </w:rPr>
        <w:t xml:space="preserve">Astragalus_scaphoides_2</w:t>
      </w:r>
      <w:r>
        <w:t xml:space="preserve">),</w:t>
      </w:r>
      <w:r>
        <w:t xml:space="preserve"> </w:t>
      </w:r>
      <w:r>
        <w:rPr>
          <w:i/>
          <w:iCs/>
        </w:rPr>
        <w:t xml:space="preserve">Dioon merolae</w:t>
      </w:r>
      <w:r>
        <w:t xml:space="preserve">,</w:t>
      </w:r>
      <w:r>
        <w:t xml:space="preserve"> </w:t>
      </w:r>
      <w:r>
        <w:rPr>
          <w:i/>
          <w:iCs/>
        </w:rPr>
        <w:t xml:space="preserve">Dracocephalum austriacum</w:t>
      </w:r>
      <w:r>
        <w:t xml:space="preserve"> </w:t>
      </w:r>
      <w:r>
        <w:t xml:space="preserve">(labelled</w:t>
      </w:r>
      <w:r>
        <w:t xml:space="preserve"> </w:t>
      </w:r>
      <w:r>
        <w:rPr>
          <w:rStyle w:val="VerbatimChar"/>
        </w:rPr>
        <w:t xml:space="preserve">Dracocephalum_austriacum_2</w:t>
      </w:r>
      <w:r>
        <w:t xml:space="preserve">),</w:t>
      </w:r>
      <w:r>
        <w:t xml:space="preserve"> </w:t>
      </w:r>
      <w:r>
        <w:rPr>
          <w:i/>
          <w:iCs/>
        </w:rPr>
        <w:t xml:space="preserve">Eriogonum longifolium</w:t>
      </w:r>
      <w:r>
        <w:t xml:space="preserve"> </w:t>
      </w:r>
      <w:r>
        <w:t xml:space="preserve">var.</w:t>
      </w:r>
      <w:r>
        <w:t xml:space="preserve"> </w:t>
      </w:r>
      <w:r>
        <w:rPr>
          <w:i/>
          <w:iCs/>
        </w:rPr>
        <w:t xml:space="preserve">gnaphalifolium</w:t>
      </w:r>
      <w:r>
        <w:t xml:space="preserve"> </w:t>
      </w:r>
      <w:r>
        <w:t xml:space="preserve">(labelled</w:t>
      </w:r>
      <w:r>
        <w:t xml:space="preserve"> </w:t>
      </w:r>
      <w:r>
        <w:rPr>
          <w:rStyle w:val="VerbatimChar"/>
        </w:rPr>
        <w:t xml:space="preserve">Eriogonum_longifolium_var._gnaphalifolium_2</w:t>
      </w:r>
      <w:r>
        <w:t xml:space="preserve">),</w:t>
      </w:r>
      <w:r>
        <w:t xml:space="preserve"> </w:t>
      </w:r>
      <w:r>
        <w:rPr>
          <w:i/>
          <w:iCs/>
        </w:rPr>
        <w:t xml:space="preserve">Eryngium alpinum</w:t>
      </w:r>
      <w:r>
        <w:t xml:space="preserve">,</w:t>
      </w:r>
      <w:r>
        <w:t xml:space="preserve"> </w:t>
      </w:r>
      <w:r>
        <w:rPr>
          <w:i/>
          <w:iCs/>
        </w:rPr>
        <w:t xml:space="preserve">Lantana camara</w:t>
      </w:r>
      <w:r>
        <w:t xml:space="preserve"> </w:t>
      </w:r>
      <w:r>
        <w:t xml:space="preserve">(labelled</w:t>
      </w:r>
      <w:r>
        <w:t xml:space="preserve"> </w:t>
      </w:r>
      <w:r>
        <w:rPr>
          <w:rStyle w:val="VerbatimChar"/>
        </w:rPr>
        <w:t xml:space="preserve">Lantana_camara_2</w:t>
      </w:r>
      <w:r>
        <w:t xml:space="preserve">),</w:t>
      </w:r>
      <w:r>
        <w:t xml:space="preserve"> </w:t>
      </w:r>
      <w:r>
        <w:rPr>
          <w:i/>
          <w:iCs/>
        </w:rPr>
        <w:t xml:space="preserve">Liatris scariosa</w:t>
      </w:r>
      <w:r>
        <w:t xml:space="preserve">,</w:t>
      </w:r>
      <w:r>
        <w:t xml:space="preserve"> </w:t>
      </w:r>
      <w:r>
        <w:rPr>
          <w:i/>
          <w:iCs/>
        </w:rPr>
        <w:t xml:space="preserve">Lophophora diffusa</w:t>
      </w:r>
      <w:r>
        <w:t xml:space="preserve">,</w:t>
      </w:r>
      <w:r>
        <w:t xml:space="preserve"> </w:t>
      </w:r>
      <w:r>
        <w:rPr>
          <w:i/>
          <w:iCs/>
        </w:rPr>
        <w:t xml:space="preserve">Mammillaria huitzilopochtli</w:t>
      </w:r>
      <w:r>
        <w:t xml:space="preserve">,</w:t>
      </w:r>
      <w:r>
        <w:t xml:space="preserve"> </w:t>
      </w:r>
      <w:r>
        <w:rPr>
          <w:i/>
          <w:iCs/>
        </w:rPr>
        <w:t xml:space="preserve">Neobuxbaumia polylopha</w:t>
      </w:r>
      <w:r>
        <w:t xml:space="preserve">,</w:t>
      </w:r>
      <w:r>
        <w:t xml:space="preserve"> </w:t>
      </w:r>
      <w:r>
        <w:rPr>
          <w:i/>
          <w:iCs/>
        </w:rPr>
        <w:t xml:space="preserve">Orchis purpurea</w:t>
      </w:r>
      <w:r>
        <w:t xml:space="preserve">,</w:t>
      </w:r>
      <w:r>
        <w:t xml:space="preserve"> </w:t>
      </w:r>
      <w:r>
        <w:rPr>
          <w:i/>
          <w:iCs/>
        </w:rPr>
        <w:t xml:space="preserve">Paeonia officinalis</w:t>
      </w:r>
      <w:r>
        <w:t xml:space="preserve">,</w:t>
      </w:r>
      <w:r>
        <w:t xml:space="preserve"> </w:t>
      </w:r>
      <w:r>
        <w:rPr>
          <w:i/>
          <w:iCs/>
        </w:rPr>
        <w:t xml:space="preserve">Pediocactus bradyi</w:t>
      </w:r>
      <w:r>
        <w:t xml:space="preserve">,</w:t>
      </w:r>
      <w:r>
        <w:t xml:space="preserve"> </w:t>
      </w:r>
      <w:r>
        <w:rPr>
          <w:i/>
          <w:iCs/>
        </w:rPr>
        <w:t xml:space="preserve">Pimpinella saxifraga</w:t>
      </w:r>
      <w:r>
        <w:t xml:space="preserve">,</w:t>
      </w:r>
      <w:r>
        <w:t xml:space="preserve"> </w:t>
      </w:r>
      <w:r>
        <w:rPr>
          <w:i/>
          <w:iCs/>
        </w:rPr>
        <w:t xml:space="preserve">Pinus maximartinezii</w:t>
      </w:r>
      <w:r>
        <w:t xml:space="preserve">,</w:t>
      </w:r>
      <w:r>
        <w:t xml:space="preserve"> </w:t>
      </w:r>
      <w:r>
        <w:rPr>
          <w:i/>
          <w:iCs/>
        </w:rPr>
        <w:t xml:space="preserve">Plantago media</w:t>
      </w:r>
      <w:r>
        <w:t xml:space="preserve">,</w:t>
      </w:r>
      <w:r>
        <w:t xml:space="preserve"> </w:t>
      </w:r>
      <w:r>
        <w:rPr>
          <w:i/>
          <w:iCs/>
        </w:rPr>
        <w:t xml:space="preserve">Prosopis flexuosa</w:t>
      </w:r>
      <w:r>
        <w:t xml:space="preserve"> </w:t>
      </w:r>
      <w:r>
        <w:t xml:space="preserve">(labelled</w:t>
      </w:r>
      <w:r>
        <w:t xml:space="preserve"> </w:t>
      </w:r>
      <w:r>
        <w:rPr>
          <w:rStyle w:val="VerbatimChar"/>
        </w:rPr>
        <w:t xml:space="preserve">Prosopis_ﬂexuosa</w:t>
      </w:r>
      <w:r>
        <w:t xml:space="preserve">),</w:t>
      </w:r>
      <w:r>
        <w:t xml:space="preserve"> </w:t>
      </w:r>
      <w:r>
        <w:rPr>
          <w:i/>
          <w:iCs/>
        </w:rPr>
        <w:t xml:space="preserve">Saponaria bellidifolia</w:t>
      </w:r>
      <w:r>
        <w:t xml:space="preserve">,</w:t>
      </w:r>
      <w:r>
        <w:t xml:space="preserve"> </w:t>
      </w:r>
      <w:r>
        <w:rPr>
          <w:i/>
          <w:iCs/>
        </w:rPr>
        <w:t xml:space="preserve">Tillandsia butzii</w:t>
      </w:r>
      <w:r>
        <w:t xml:space="preserve">,</w:t>
      </w:r>
      <w:r>
        <w:t xml:space="preserve"> </w:t>
      </w:r>
      <w:r>
        <w:rPr>
          <w:i/>
          <w:iCs/>
        </w:rPr>
        <w:t xml:space="preserve">Trillium persistens</w:t>
      </w:r>
      <w:r>
        <w:t xml:space="preserve">,</w:t>
      </w:r>
      <w:r>
        <w:t xml:space="preserve"> </w:t>
      </w:r>
      <w:r>
        <w:rPr>
          <w:i/>
          <w:iCs/>
        </w:rPr>
        <w:t xml:space="preserve">Trollius europaeus</w:t>
      </w:r>
      <w:r>
        <w:t xml:space="preserve">,</w:t>
      </w:r>
      <w:r>
        <w:t xml:space="preserve"> </w:t>
      </w:r>
      <w:r>
        <w:rPr>
          <w:i/>
          <w:iCs/>
        </w:rPr>
        <w:t xml:space="preserve">Trollius laxus</w:t>
      </w:r>
      <w:r>
        <w:t xml:space="preserve"> </w:t>
      </w:r>
      <w:r>
        <w:t xml:space="preserve">(labelled</w:t>
      </w:r>
      <w:r>
        <w:t xml:space="preserve"> </w:t>
      </w:r>
      <w:r>
        <w:rPr>
          <w:rStyle w:val="VerbatimChar"/>
        </w:rPr>
        <w:t xml:space="preserve">Trollius_laxus_2</w:t>
      </w:r>
      <w:r>
        <w:t xml:space="preserve">), and</w:t>
      </w:r>
      <w:r>
        <w:t xml:space="preserve"> </w:t>
      </w:r>
      <w:r>
        <w:rPr>
          <w:i/>
          <w:iCs/>
        </w:rPr>
        <w:t xml:space="preserve">Viola biflora</w:t>
      </w:r>
      <w:r>
        <w:t xml:space="preserve">.</w:t>
      </w:r>
    </w:p>
    <w:bookmarkEnd w:id="27"/>
    <w:bookmarkEnd w:id="28"/>
    <w:bookmarkStart w:id="29"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0.646</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3541"/>
        <w:gridCol w:w="1622"/>
        <w:gridCol w:w="1511"/>
        <w:gridCol w:w="1511"/>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r>
      <w:tr>
        <w:trPr>
          <w:trHeight w:val="61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r>
      <w:tr>
        <w:trPr>
          <w:trHeight w:val="61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r>
      <w:tr>
        <w:trPr>
          <w:trHeight w:val="61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r>
      <w:tr>
        <w:trPr>
          <w:trHeight w:val="61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r>
      <w:tr>
        <w:trPr>
          <w:trHeight w:val="61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r>
      <w:tr>
        <w:trPr>
          <w:trHeight w:val="618"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r>
      <w:tr>
        <w:trPr>
          <w:trHeight w:val="61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r>
      <w:tr>
        <w:trPr>
          <w:trHeight w:val="618"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r>
      <w:tr>
        <w:trPr>
          <w:trHeight w:val="61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r>
      <w:tr>
        <w:trPr>
          <w:trHeight w:val="618"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r>
      <w:tr>
        <w:trPr>
          <w:trHeight w:val="618"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r>
      <w:tr>
        <w:trPr>
          <w:trHeight w:val="618"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r>
      <w:tr>
        <w:trPr>
          <w:trHeight w:val="618"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r>
      <w:tr>
        <w:trPr>
          <w:trHeight w:val="618"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r>
      <w:tr>
        <w:trPr>
          <w:trHeight w:val="618"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r>
      <w:tr>
        <w:trPr>
          <w:trHeight w:val="618"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r>
      <w:tr>
        <w:trPr>
          <w:trHeight w:val="618"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r>
      <w:tr>
        <w:trPr>
          <w:trHeight w:val="618"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r>
      <w:tr>
        <w:trPr>
          <w:trHeight w:val="618"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r>
      <w:tr>
        <w:trPr>
          <w:trHeight w:val="618"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r>
      <w:tr>
        <w:trPr>
          <w:trHeight w:val="618"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r>
      <w:tr>
        <w:trPr>
          <w:trHeight w:val="618"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r>
      <w:tr>
        <w:trPr>
          <w:trHeight w:val="618"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r>
      <w:tr>
        <w:trPr>
          <w:trHeight w:val="618"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r>
      <w:tr>
        <w:trPr>
          <w:trHeight w:val="618"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r>
      <w:tr>
        <w:trPr>
          <w:trHeight w:val="618"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r>
      <w:tr>
        <w:trPr>
          <w:trHeight w:val="618"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r>
      <w:tr>
        <w:trPr>
          <w:trHeight w:val="618"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r>
      <w:tr>
        <w:trPr>
          <w:trHeight w:val="618" w:hRule="auto"/>
        </w:trPr>
        body48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38"/>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r>
        <w:trPr>
          <w:trHeight w:val="573"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152"/>
        <w:gridCol w:w="2736"/>
        <w:gridCol w:w="2592"/>
        <w:gridCol w:w="3888"/>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 (COMPADRE label)</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thesis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Dracocephalum_austriacum</w:t>
            </w:r>
          </w:p>
        </w:tc>
      </w:tr>
      <w:tr>
        <w:trPr>
          <w:trHeight w:val="61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Lupinus_tidestromii</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Cons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Khaya_senegalensis</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Orchis_purpurea</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Dicorynia_guianensis</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Geonoma_schottiana</w:t>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Dactylorhiza_lapponica</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Toräng; Ehrlén; Ågren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Oecologia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10.1007/s00442-009-1552-1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Primula_farinosa_4</w:t>
            </w:r>
          </w:p>
        </w:tc>
      </w:tr>
      <w:tr>
        <w:trPr>
          <w:trHeight w:val="62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Csergő; Molnár;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Saponaria_bellidifolia</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Nat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Vella_pseudocytisus_subsp._paui_2</w:t>
            </w:r>
          </w:p>
        </w:tc>
      </w:tr>
      <w:tr>
        <w:trPr>
          <w:trHeight w:val="62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Evju; Halvorsen; Rydgren; Austrheim; Mysterud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10.1007/s11258-011-9906-2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Geranium_sylvaticum_2</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Trop Cons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10.1177/19400829110040010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Lepidocaryum_tenue</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 Monog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Microberlinia_bisulcata; Tetraberlinia_bifoliolata</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Cypripedium_fasciculatum</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Eryngium_alpinum</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Liatris_scariosa</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Cirsium_pitcheri_4</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Boswellia_papyrifera</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Trollius_laxus</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Phyllanthus_emblica_2; Phyllanthus_indofischeri</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Burns; Pardini; Schutzenhofer; Chung; Seidler;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10.1890/12-1310.1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Iris_germanica; Lonicera_maackii; Rosa_multiflora; Taraxacum_erythrospermum; Taraxacum_officinale_2</w:t>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Pityopsis_aspera</w:t>
            </w:r>
          </w:p>
        </w:tc>
      </w:tr>
      <w:tr>
        <w:trPr>
          <w:trHeight w:val="61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Maines; Knochel; Seastedt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10.1890/ES13-00094.1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Centaurea_stoebe_2</w:t>
            </w:r>
          </w:p>
        </w:tc>
      </w:tr>
      <w:tr>
        <w:trPr>
          <w:trHeight w:val="618"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Miscanthus_giganteus</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Lantana_camara</w:t>
            </w:r>
          </w:p>
        </w:tc>
      </w:tr>
      <w:tr>
        <w:trPr>
          <w:trHeight w:val="61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Villellas; Morris;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Plantago_coronopus_2</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Trollius_laxus_2</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Himatanthus_drasticus</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Festuca_eskia</w:t>
            </w:r>
          </w:p>
        </w:tc>
      </w:tr>
      <w:tr>
        <w:trPr>
          <w:trHeight w:val="619"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Haridas; Keeler; Tenhumberg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Ecology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10.1890/13-1984.1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Opuntia_macrorhiza_2</w:t>
            </w:r>
          </w:p>
        </w:tc>
      </w:tr>
    </w:tbl>
    <w:p>
      <w:r>
        <w:br w:type="page"/>
      </w:r>
    </w:p>
    <w:bookmarkEnd w:id="29"/>
    <w:bookmarkStart w:id="38" w:name="supplementary-figures"/>
    <w:p>
      <w:pPr>
        <w:pStyle w:val="Heading1"/>
      </w:pPr>
      <w:r>
        <w:t xml:space="preserve">Supplementary Figures</w:t>
      </w:r>
    </w:p>
    <w:p>
      <w:pPr>
        <w:pStyle w:val="CaptionedFigure"/>
      </w:pPr>
      <w:r>
        <w:drawing>
          <wp:inline>
            <wp:extent cx="5734113" cy="3669832"/>
            <wp:effectExtent b="0" l="0" r="0" t="0"/>
            <wp:docPr descr="Figure 1: Figure S1. Boundary-estimate diagnostic. When stage-specific survival estimates are near 0 or 1, derived-parameter sampling distributions can be displaced relative to point estimates, indicating potential inferential fragility." title="" id="31" name="Picture"/>
            <a:graphic>
              <a:graphicData uri="http://schemas.openxmlformats.org/drawingml/2006/picture">
                <pic:pic>
                  <pic:nvPicPr>
                    <pic:cNvPr descr="../../figures/boundary.png" id="32" name="Picture"/>
                    <pic:cNvPicPr>
                      <a:picLocks noChangeArrowheads="1" noChangeAspect="1"/>
                    </pic:cNvPicPr>
                  </pic:nvPicPr>
                  <pic:blipFill>
                    <a:blip r:embed="rId30"/>
                    <a:stretch>
                      <a:fillRect/>
                    </a:stretch>
                  </pic:blipFill>
                  <pic:spPr bwMode="auto">
                    <a:xfrm>
                      <a:off x="0" y="0"/>
                      <a:ext cx="5734113" cy="3669832"/>
                    </a:xfrm>
                    <a:prstGeom prst="rect">
                      <a:avLst/>
                    </a:prstGeom>
                    <a:noFill/>
                    <a:ln w="9525">
                      <a:noFill/>
                      <a:headEnd/>
                      <a:tailEnd/>
                    </a:ln>
                  </pic:spPr>
                </pic:pic>
              </a:graphicData>
            </a:graphic>
          </wp:inline>
        </w:drawing>
      </w:r>
    </w:p>
    <w:p>
      <w:pPr>
        <w:pStyle w:val="ImageCaption"/>
      </w:pPr>
      <w:bookmarkStart w:id="33" w:name="fig:fig-boundary-1"/>
      <w:bookmarkEnd w:id="33"/>
      <w:r>
        <w:t xml:space="preserve">Figure 1: Figure S1. Boundary-estimate diagnostic.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34113" cy="5504749"/>
            <wp:effectExtent b="0" l="0" r="0" t="0"/>
            <wp:docPr descr="Figure 2: Figure S2. Illustration of survivorship trajectories under boundary survival transitions. These cases can induce artefactual trajectory shapes and help explain mismatches between point estimates and uncertainty-aware summaries." title="" id="35" name="Picture"/>
            <a:graphic>
              <a:graphicData uri="http://schemas.openxmlformats.org/drawingml/2006/picture">
                <pic:pic>
                  <pic:nvPicPr>
                    <pic:cNvPr descr="../../figures/boundary2.png" id="36" name="Picture"/>
                    <pic:cNvPicPr>
                      <a:picLocks noChangeArrowheads="1" noChangeAspect="1"/>
                    </pic:cNvPicPr>
                  </pic:nvPicPr>
                  <pic:blipFill>
                    <a:blip r:embed="rId34"/>
                    <a:stretch>
                      <a:fillRect/>
                    </a:stretch>
                  </pic:blipFill>
                  <pic:spPr bwMode="auto">
                    <a:xfrm>
                      <a:off x="0" y="0"/>
                      <a:ext cx="5734113" cy="5504749"/>
                    </a:xfrm>
                    <a:prstGeom prst="rect">
                      <a:avLst/>
                    </a:prstGeom>
                    <a:noFill/>
                    <a:ln w="9525">
                      <a:noFill/>
                      <a:headEnd/>
                      <a:tailEnd/>
                    </a:ln>
                  </pic:spPr>
                </pic:pic>
              </a:graphicData>
            </a:graphic>
          </wp:inline>
        </w:drawing>
      </w:r>
    </w:p>
    <w:p>
      <w:pPr>
        <w:pStyle w:val="ImageCaption"/>
      </w:pPr>
      <w:bookmarkStart w:id="37" w:name="fig:fig-boundary-2"/>
      <w:bookmarkEnd w:id="37"/>
      <w:r>
        <w:t xml:space="preserve">Figure 2: Figure S2. Illustration of survivorship trajectories under boundary survival transitions. These cases can induce artefactual trajectory shapes and help explain mismatches between point estimates and uncertainty-aware summaries.</w:t>
      </w:r>
    </w:p>
    <w:bookmarkEnd w:id="38"/>
    <w:sectPr w:rsidR="00445ECF" w:rsidRPr="000A5324">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A5324"/>
    <w:rsid w:val="00293780"/>
    <w:rsid w:val="00445ECF"/>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93780"/>
    <w:pPr>
      <w:keepNext/>
      <w:keepLines/>
    </w:pPr>
    <w:rPr>
      <w:b w:val="0"/>
      <w:bCs w:val="0"/>
      <w:sz w:val="24"/>
      <w:szCs w:val="24"/>
    </w:rPr>
  </w:style>
  <w:style w:styleId="Date" w:type="paragraph">
    <w:name w:val="Date"/>
    <w:basedOn w:val="Title"/>
    <w:next w:val="BodyText"/>
    <w:qFormat/>
    <w:rsid w:val="00293780"/>
    <w:pPr>
      <w:keepNext/>
      <w:keepLines/>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2026-02-27T16:42:28Z</dcterms:created>
  <dcterms:modified xsi:type="dcterms:W3CDTF">2026-02-27T16:42:28Z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When does sampling uncertainty matter in matrix population models? Evidence from published projection matrices</vt:lpwstr>
  </property>
</Properties>
</file>