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S1-2. Point estimates and draws from the sampling distribution for derived parameters from a single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1084"/>
        <w:gridCol w:w="1084"/>
        <w:gridCol w:w="180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1.310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Repro. value (Veg.)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Generation time (T)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31.500</w:t>
            </w:r>
          </w:p>
        </w:tc>
      </w:tr>
      <w:tr>
        <w:trPr>
          <w:trHeight w:val="618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7.840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2026-02-27T13:50:16Z</dcterms:modified>
  <cp:category/>
</cp:coreProperties>
</file>