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S1-3. Point estimates and draws from the sampling distribution for derived parameters from a mean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54"/>
        <w:gridCol w:w="1132"/>
        <w:gridCol w:w="961"/>
        <w:gridCol w:w="1034"/>
        <w:gridCol w:w="180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(l[0])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1.930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Pop. growth rate (lambda)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</w:t>
            </w:r>
          </w:p>
        </w:tc>
      </w:tr>
      <w:tr>
        <w:trPr>
          <w:trHeight w:val="62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Damping ratio (rho)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2026-02-27T13:50:16Z</dcterms:modified>
  <cp:category/>
</cp:coreProperties>
</file>