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S1-3. Point estimates and draws from the sampling distribution for derived parameters from a mean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961"/>
        <w:gridCol w:w="103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1.930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2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2026-02-01T13:02:12Z</dcterms:modified>
  <cp:category/>
</cp:coreProperties>
</file>