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Override PartName="/word/media/rId141.png" ContentType="image/png"/>
  <Override PartName="/word/media/rId100.png" ContentType="image/png"/>
  <Override PartName="/word/media/rId144.png" ContentType="image/png"/>
  <Override PartName="/word/media/rId104.png" ContentType="image/png"/>
  <Override PartName="/word/media/rId108.png" ContentType="image/png"/>
  <Override PartName="/word/media/rId92.png" ContentType="image/png"/>
  <Override PartName="/word/media/rId112.png" ContentType="image/png"/>
  <Override PartName="/word/media/rId138.png" ContentType="image/png"/>
  <Override PartName="/word/media/rId150.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17"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17"/>
    <w:bookmarkStart w:id="18"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18"/>
    <w:bookmarkStart w:id="20" w:name="corresponding-author"/>
    <w:p>
      <w:pPr>
        <w:pStyle w:val="Heading1"/>
      </w:pPr>
      <w:r>
        <w:t xml:space="preserve">Corresponding author</w:t>
      </w:r>
    </w:p>
    <w:p>
      <w:pPr>
        <w:pStyle w:val="FirstParagraph"/>
      </w:pPr>
      <w:r>
        <w:t xml:space="preserve">* Owen R. Jones,</w:t>
      </w:r>
      <w:r>
        <w:t xml:space="preserve"> </w:t>
      </w:r>
      <w:hyperlink r:id="rId19">
        <w:r>
          <w:rPr>
            <w:rStyle w:val="Hyperlink"/>
          </w:rPr>
          <w:t xml:space="preserve">jones@biology.sdu.dk</w:t>
        </w:r>
      </w:hyperlink>
    </w:p>
    <w:p>
      <w:r>
        <w:br w:type="page"/>
      </w:r>
    </w:p>
    <w:bookmarkEnd w:id="20"/>
    <w:bookmarkStart w:id="21"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(i) a multi-species comparative analysis of life expectancy-shape relationships, (ii) a single-species time-series analysis of climate-demography effects, and (iii) a simulation study with known truth that compares how models account for count sampling and year-to-year variation.</w:t>
      </w:r>
    </w:p>
    <w:p>
      <w:pPr>
        <w:numPr>
          <w:ilvl w:val="0"/>
          <w:numId w:val="1001"/>
        </w:numPr>
      </w:pPr>
      <w:r>
        <w:t xml:space="preserve">The effects of sampling uncertainty were strongly trait-dependent. Accounting for sampling uncertainty barely shifted integrated metrics such as population growth rate, but substantially displaced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 whereas the simulation study showed that point-estimate count models can become overconfident even when bias remains low.</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the simulation also shows that omitting year-to-year variation can produce overconfident interval estimates in count-based models.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estimation bias; parameter uncertainty; stage-structured models; sensitivity analysis; plant demography; life history traits</w:t>
      </w:r>
    </w:p>
    <w:p>
      <w:r>
        <w:br w:type="page"/>
      </w:r>
    </w:p>
    <w:bookmarkEnd w:id="21"/>
    <w:bookmarkStart w:id="22" w:name="introduction"/>
    <w:p>
      <w:pPr>
        <w:pStyle w:val="Heading1"/>
      </w:pPr>
      <w:r>
        <w:t xml:space="preserve">Introduction</w:t>
      </w:r>
    </w:p>
    <w:p>
      <w:pPr>
        <w:pStyle w:val="FirstParagraph"/>
      </w:pPr>
      <w:r>
        <w:t xml:space="preserve">Sampling uncertainty is a widely recognised, inherent component of demographic analyses (Caswell 2001). This uncertainty, stemming from the sampling of the population of interest, proliferates across almost all estimates of individual demographic rates (e.g. survival and reproduction), through studies based on raw data and single species, up to large comparative studies.</w:t>
      </w:r>
    </w:p>
    <w:p>
      <w:pPr>
        <w:pStyle w:val="BodyText"/>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population- or species-level quantities computed from matrix population models (MPMs). These span life-history traits such as generation time, transient descriptors such as reactivity, and integrated metrics such as population growth rate, through to traits governed by long-term survivorship or tail behaviour, such as life expectancy and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Large comparative analyses are not the only analysis that can be impacted by omission of sampling uncertainty. Another key area where sampling uncertainty could have a substantial impact is in linking demographic rates to abiotic drivers. When incorporating drivers, such as climate, in MPM studies researchers typically regress an annual demographic rate (e.g. recruitment) against a climate variable (e.g. spring temperature) to estimate how strongly climate drives dynamics. A key challenge with this approach is that the vital rate estimates in the regression are themselves noisy. In linear regression, independent, additive, mean-zero error in the response reduces precision but does not itself bias the slope towards zero. Its effects in models of demographic rates depend on the error structure and model formulation; whether explicitly accounting for sampling uncertainty materially changes climate-response inference is therefore an empirical question, which we address here.</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then using these parameter estimates, which themselves carry sampling uncertainty inherited from the underlying transition rates, or further derivations of them, as inputs to a statistical model that tests the relationship of interest. Uncertainty must therefore propagate along a chain, from the sampled transition rates, through the derived parameters, to the final inference.</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combine a comparative analysis of lifetime-integrating traits across populations and species (Analysis 1), a within-species analysis of climate effects on demographic rates (Analysis 2), and a simulation assessing estimation bias and interval coverage against known climate effects (Analysis 3). A multisite extension of Analysis 2 using</w:t>
      </w:r>
      <w:r>
        <w:t xml:space="preserve"> </w:t>
      </w:r>
      <w:r>
        <w:rPr>
          <w:i/>
          <w:iCs/>
        </w:rPr>
        <w:t xml:space="preserve">Astragalus scaphoides</w:t>
      </w:r>
      <w:r>
        <w:t xml:space="preserve"> </w:t>
      </w:r>
      <w:r>
        <w:t xml:space="preserve">provides a supplementary robustness check. The focal quantities are mature life expectancy, the shape of the mortality trajectory, log population growth rate, and recruitment-climate regression coefficients. Because COMPADRE does not routinely include transition-level sample sizes, our empirical analyses are restricted to the subset for which these data could be assembled (695 MPMs from 31 studies; details in Methods). We use these analyses to identify diagnostic features that help researchers assess robustness in their own work. We also provide a practical diagnostic checklist for COMPADRE users.</w:t>
      </w:r>
    </w:p>
    <w:bookmarkEnd w:id="22"/>
    <w:bookmarkStart w:id="32" w:name="methods"/>
    <w:p>
      <w:pPr>
        <w:pStyle w:val="Heading1"/>
      </w:pPr>
      <w:r>
        <w:t xml:space="preserve">Methods</w:t>
      </w:r>
    </w:p>
    <w:bookmarkStart w:id="23"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 “mean MPM” calculated as an element-by-element arithmetic mean across multiple years and/or sites.</w:t>
      </w:r>
    </w:p>
    <w:bookmarkEnd w:id="23"/>
    <w:bookmarkStart w:id="24" w:name="target-studies"/>
    <w:p>
      <w:pPr>
        <w:pStyle w:val="Heading2"/>
      </w:pPr>
      <w:r>
        <w:t xml:space="preserve">Target studies</w:t>
      </w:r>
    </w:p>
    <w:p>
      <w:pPr>
        <w:pStyle w:val="FirstParagraph"/>
      </w:pPr>
      <w:r>
        <w:t xml:space="preserve">We used COMPADRE to identify candidate studies for data collection, with the following criteria: published from 2010 onwards; common perennial growth forms (herbaceous, shrub, tree, palm, and succulent); wild populations not subjected to experimental treatments; and MPMs with three or more stage classes and a one-year projection interval. This yielded a dataset of 31 studies, representing 695 MPMs for 132 populations of 30 species, including a small number added under separate criteria (Supplementary Methods section S1.8). Studies were most often excluded because transition-specific sample sizes were insufficiently reported, with a few using estimation methods incompatible with our uncertainty-reconstruction approach (e.g. mark-recapture or multi-stage vital-rate products). We compared the included studies with the other studies that met the same criteria but lacked usable sample sizes, and found them broadly similar in matrix dimension, life form, and mean stage-specific survival, although our included studies had a higher proportion of boundary survival estimates, especially survival of exactly 1 (Table S11). This over-representation may favour detection of boundary-related sensitivity and limits generalisation to all MPM studies.</w:t>
      </w:r>
    </w:p>
    <w:bookmarkEnd w:id="24"/>
    <w:bookmarkStart w:id="25"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r>
            <m:rPr>
              <m:sty m:val="p"/>
            </m:rPr>
            <m:t>(</m:t>
          </m:r>
          <m:r>
            <m:t>1</m:t>
          </m:r>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r>
            <m:rPr>
              <m:sty m:val="p"/>
            </m:rPr>
            <m:t>(</m:t>
          </m:r>
          <m:r>
            <m:t>2</m:t>
          </m:r>
          <m:r>
            <m:rPr>
              <m:sty m:val="p"/>
            </m:rPr>
            <m:t>)</m:t>
          </m:r>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decomposed into lower-level vital rates (e.g. flowers per plant, seeds per fruit, and germination probability) estimated from separate samples, or transition rates may be fitted with models that partially pool estimates across stage classes, sites, or years, as in hierarchical vital-rate models and integral projection models (IPMs). Uncertainty in such models can differ from the simple count-based setting considered here: partial pooling often reduces the variance of weakly informed estimates but can induce stronger correlations across transitions, so uncertainty should ideally be propagated from the joint posterior of the fitted model. Our reconstructions therefore approximate the uncertainty available to a secondary user of the published matrix and its sample-size information, rather than the full joint uncertainty from the original fitted model.</w:t>
      </w:r>
    </w:p>
    <w:bookmarkEnd w:id="25"/>
    <w:bookmarkStart w:id="26"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We reconstruct uncertainty using direct draws from conjugate posterior distributions: 2,000 draws per MPM for the illustrative example and 1,000 for Analysis 1. Hereafter, “sampling distributions” refers to these reconstructed posterior uncertainty distributions. Survival-related transitions are drawn jointly within each origin-stage column using a Dirichlet prior with all concentration parameters equal to 1, including death; reproductive rates use independent flat priors on the non-negative rate scale (Supplementary Methods section S1.1).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Use of a Poisson distribution for fecundity might under-capture overdispersion in species with highly variable fecundity.</w:t>
      </w:r>
    </w:p>
    <w:p>
      <w:pPr>
        <w:pStyle w:val="BodyText"/>
      </w:pPr>
      <w:r>
        <w:t xml:space="preserve">Because it draws from the posterior rather than resampling the reported estimate, this approach assigns uncertainty to allowed outcomes that were not observed, including death when all sampled individuals survived, so it does not force every draw to reproduce boundary point estimates. The resulting uncertainty depends on the priors and on the allowed-transition structure, which we defined per population; it may be understated for transitions that are biologically possible but never observed for a population, and columns with missing or zero recorded sample sizes contribute no reconstructed uncertainty (Supplementary Methods section S1.1).</w:t>
      </w:r>
    </w:p>
    <w:bookmarkEnd w:id="26"/>
    <w:bookmarkStart w:id="31" w:name="analyses"/>
    <w:p>
      <w:pPr>
        <w:pStyle w:val="Heading2"/>
      </w:pPr>
      <w:r>
        <w:t xml:space="preserve">Analyses</w:t>
      </w:r>
    </w:p>
    <w:bookmarkStart w:id="27"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 ‘B’;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is death. In the posterior sampling, death probability is drawn jointly with the living-transition probabilities in each</w:t>
      </w:r>
      <w:r>
        <w:t xml:space="preserve"> </w:t>
      </w:r>
      <m:oMath>
        <m:r>
          <m:t>U</m:t>
        </m:r>
      </m:oMath>
      <w:r>
        <w:t xml:space="preserve">-column, but only the living-stage components are written back into the simulated</w:t>
      </w:r>
      <w:r>
        <w:t xml:space="preserve"> </w:t>
      </w:r>
      <m:oMath>
        <m:r>
          <m:t>U</m:t>
        </m:r>
      </m:oMath>
      <w:r>
        <w:t xml:space="preserve"> </w:t>
      </w:r>
      <w:r>
        <w:t xml:space="preserve">matrix.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The count likelihoods used to reconstruct transition-rate uncertainty are:</w:t>
      </w:r>
    </w:p>
    <w:p>
      <w:pPr>
        <w:pStyle w:val="BodyText"/>
      </w:pPr>
      <m:oMathPara>
        <m:oMathParaPr>
          <m:jc m:val="center"/>
        </m:oMathParaPr>
        <m:oMath>
          <m:r>
            <m:rPr>
              <m:sty m:val="p"/>
            </m:rPr>
            <m:t>(</m:t>
          </m:r>
          <m:r>
            <m:t>12</m:t>
          </m:r>
          <m:r>
            <m:rPr>
              <m:sty m:val="p"/>
            </m:rPr>
            <m:t>,</m:t>
          </m:r>
          <m:r>
            <m:t>2</m:t>
          </m:r>
          <m:r>
            <m:rPr>
              <m:sty m:val="p"/>
            </m:rPr>
            <m:t>)</m:t>
          </m:r>
          <m:r>
            <m:rPr>
              <m:sty m:val="p"/>
            </m:rPr>
            <m:t>∼</m:t>
          </m:r>
          <m:r>
            <m:rPr>
              <m:nor/>
              <m:sty m:val="p"/>
            </m:rPr>
            <m:t>Multinomial</m:t>
          </m:r>
          <m:r>
            <m:rPr>
              <m:sty m:val="p"/>
            </m:rPr>
            <m:t>(</m:t>
          </m:r>
          <m:sSub>
            <m:e>
              <m:r>
                <m:t>U</m:t>
              </m:r>
            </m:e>
            <m:sub>
              <m:r>
                <m:t>21</m:t>
              </m:r>
            </m:sub>
          </m:sSub>
          <m:r>
            <m:rPr>
              <m:sty m:val="p"/>
            </m:rPr>
            <m:t>,</m:t>
          </m:r>
          <m:sSub>
            <m:e>
              <m:r>
                <m:t>U</m:t>
              </m:r>
            </m:e>
            <m:sub>
              <m:r>
                <m:t>d</m:t>
              </m:r>
              <m:r>
                <m:t>1</m:t>
              </m:r>
            </m:sub>
          </m:sSub>
          <m:r>
            <m:rPr>
              <m:sty m:val="p"/>
            </m:rPr>
            <m:t>)</m:t>
          </m:r>
          <m:r>
            <m:rPr>
              <m:sty m:val="p"/>
            </m:rPr>
            <m:t>,</m:t>
          </m:r>
        </m:oMath>
      </m:oMathPara>
    </w:p>
    <w:p>
      <w:pPr>
        <w:pStyle w:val="FirstParagraph"/>
      </w:pPr>
      <m:oMathPara>
        <m:oMathParaPr>
          <m:jc m:val="center"/>
        </m:oMathParaPr>
        <m:oMath>
          <m:r>
            <m:rPr>
              <m:sty m:val="p"/>
            </m:rPr>
            <m:t>(</m:t>
          </m:r>
          <m:r>
            <m:t>14</m:t>
          </m:r>
          <m:r>
            <m:rPr>
              <m:sty m:val="p"/>
            </m:rPr>
            <m:t>,</m:t>
          </m:r>
          <m:r>
            <m:t>1</m:t>
          </m:r>
          <m:r>
            <m:rPr>
              <m:sty m:val="p"/>
            </m:rPr>
            <m:t>,</m:t>
          </m:r>
          <m:r>
            <m:t>3</m:t>
          </m:r>
          <m:r>
            <m:rPr>
              <m:sty m:val="p"/>
            </m:rPr>
            <m:t>)</m:t>
          </m:r>
          <m:r>
            <m:rPr>
              <m:sty m:val="p"/>
            </m:rPr>
            <m:t>∼</m:t>
          </m:r>
          <m:r>
            <m:rPr>
              <m:nor/>
              <m:sty m:val="p"/>
            </m:rPr>
            <m:t>Multinomial</m:t>
          </m:r>
          <m:r>
            <m:rPr>
              <m:sty m:val="p"/>
            </m:rPr>
            <m:t>(</m:t>
          </m:r>
          <m:sSub>
            <m:e>
              <m:r>
                <m:t>U</m:t>
              </m:r>
            </m:e>
            <m:sub>
              <m:r>
                <m:t>22</m:t>
              </m:r>
            </m:sub>
          </m:sSub>
          <m:r>
            <m:rPr>
              <m:sty m:val="p"/>
            </m:rPr>
            <m:t>,</m:t>
          </m:r>
          <m:sSub>
            <m:e>
              <m:r>
                <m:t>U</m:t>
              </m:r>
            </m:e>
            <m:sub>
              <m:r>
                <m:t>32</m:t>
              </m:r>
            </m:sub>
          </m:sSub>
          <m:r>
            <m:rPr>
              <m:sty m:val="p"/>
            </m:rPr>
            <m:t>,</m:t>
          </m:r>
          <m:sSub>
            <m:e>
              <m:r>
                <m:t>U</m:t>
              </m:r>
            </m:e>
            <m:sub>
              <m:r>
                <m:t>d</m:t>
              </m:r>
              <m:r>
                <m:t>2</m:t>
              </m:r>
            </m:sub>
          </m:sSub>
          <m:r>
            <m:rPr>
              <m:sty m:val="p"/>
            </m:rPr>
            <m:t>)</m:t>
          </m:r>
          <m:r>
            <m:rPr>
              <m:sty m:val="p"/>
            </m:rPr>
            <m:t>,</m:t>
          </m:r>
        </m:oMath>
      </m:oMathPara>
    </w:p>
    <w:p>
      <w:pPr>
        <w:pStyle w:val="FirstParagraph"/>
      </w:pPr>
      <m:oMathPara>
        <m:oMathParaPr>
          <m:jc m:val="center"/>
        </m:oMathParaPr>
        <m:oMath>
          <m:r>
            <m:rPr>
              <m:sty m:val="p"/>
            </m:rPr>
            <m:t>(</m:t>
          </m:r>
          <m:r>
            <m:t>6</m:t>
          </m:r>
          <m:r>
            <m:rPr>
              <m:sty m:val="p"/>
            </m:rPr>
            <m:t>,</m:t>
          </m:r>
          <m:r>
            <m:t>2</m:t>
          </m:r>
          <m:r>
            <m:rPr>
              <m:sty m:val="p"/>
            </m:rPr>
            <m:t>,</m:t>
          </m:r>
          <m:r>
            <m:t>1</m:t>
          </m:r>
          <m:r>
            <m:rPr>
              <m:sty m:val="p"/>
            </m:rPr>
            <m:t>)</m:t>
          </m:r>
          <m:r>
            <m:rPr>
              <m:sty m:val="p"/>
            </m:rPr>
            <m:t>∼</m:t>
          </m:r>
          <m:r>
            <m:rPr>
              <m:nor/>
              <m:sty m:val="p"/>
            </m:rPr>
            <m:t>Multinomial</m:t>
          </m:r>
          <m:r>
            <m:rPr>
              <m:sty m:val="p"/>
            </m:rPr>
            <m:t>(</m:t>
          </m:r>
          <m:sSub>
            <m:e>
              <m:r>
                <m:t>U</m:t>
              </m:r>
            </m:e>
            <m:sub>
              <m:r>
                <m:t>33</m:t>
              </m:r>
            </m:sub>
          </m:sSub>
          <m:r>
            <m:rPr>
              <m:sty m:val="p"/>
            </m:rPr>
            <m:t>,</m:t>
          </m:r>
          <m:sSub>
            <m:e>
              <m:r>
                <m:t>U</m:t>
              </m:r>
            </m:e>
            <m:sub>
              <m:r>
                <m:t>43</m:t>
              </m:r>
            </m:sub>
          </m:sSub>
          <m:r>
            <m:rPr>
              <m:sty m:val="p"/>
            </m:rPr>
            <m:t>,</m:t>
          </m:r>
          <m:sSub>
            <m:e>
              <m:r>
                <m:t>U</m:t>
              </m:r>
            </m:e>
            <m:sub>
              <m:r>
                <m:t>d</m:t>
              </m:r>
              <m:r>
                <m:t>3</m:t>
              </m:r>
            </m:sub>
          </m:sSub>
          <m:r>
            <m:rPr>
              <m:sty m:val="p"/>
            </m:rPr>
            <m:t>)</m:t>
          </m:r>
          <m:r>
            <m:rPr>
              <m:sty m:val="p"/>
            </m:rPr>
            <m:t>,</m:t>
          </m:r>
        </m:oMath>
      </m:oMathPara>
    </w:p>
    <w:p>
      <w:pPr>
        <w:pStyle w:val="FirstParagraph"/>
      </w:pPr>
      <m:oMathPara>
        <m:oMathParaPr>
          <m:jc m:val="center"/>
        </m:oMathParaPr>
        <m:oMath>
          <m:r>
            <m:rPr>
              <m:sty m:val="p"/>
            </m:rPr>
            <m:t>(</m:t>
          </m:r>
          <m:r>
            <m:t>13</m:t>
          </m:r>
          <m:r>
            <m:rPr>
              <m:sty m:val="p"/>
            </m:rPr>
            <m:t>,</m:t>
          </m:r>
          <m:r>
            <m:t>33</m:t>
          </m:r>
          <m:r>
            <m:rPr>
              <m:sty m:val="p"/>
            </m:rPr>
            <m:t>,</m:t>
          </m:r>
          <m:r>
            <m:t>1</m:t>
          </m:r>
          <m:r>
            <m:rPr>
              <m:sty m:val="p"/>
            </m:rPr>
            <m:t>)</m:t>
          </m:r>
          <m:r>
            <m:rPr>
              <m:sty m:val="p"/>
            </m:rPr>
            <m:t>∼</m:t>
          </m:r>
          <m:r>
            <m:rPr>
              <m:nor/>
              <m:sty m:val="p"/>
            </m:rPr>
            <m:t>Multinomial</m:t>
          </m:r>
          <m:r>
            <m:rPr>
              <m:sty m:val="p"/>
            </m:rPr>
            <m:t>(</m:t>
          </m:r>
          <m:sSub>
            <m:e>
              <m:r>
                <m:t>U</m:t>
              </m:r>
            </m:e>
            <m:sub>
              <m:r>
                <m:t>34</m:t>
              </m:r>
            </m:sub>
          </m:sSub>
          <m:r>
            <m:rPr>
              <m:sty m:val="p"/>
            </m:rPr>
            <m:t>,</m:t>
          </m:r>
          <m:sSub>
            <m:e>
              <m:r>
                <m:t>U</m:t>
              </m:r>
            </m:e>
            <m:sub>
              <m:r>
                <m:t>44</m:t>
              </m:r>
            </m:sub>
          </m:sSub>
          <m:r>
            <m:rPr>
              <m:sty m:val="p"/>
            </m:rPr>
            <m:t>,</m:t>
          </m:r>
          <m:sSub>
            <m:e>
              <m:r>
                <m:t>U</m:t>
              </m:r>
            </m:e>
            <m:sub>
              <m:r>
                <m:t>d</m:t>
              </m:r>
              <m:r>
                <m:t>4</m:t>
              </m:r>
            </m:sub>
          </m:sSub>
          <m:r>
            <m:rPr>
              <m:sty m:val="p"/>
            </m:rPr>
            <m:t>)</m:t>
          </m:r>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t>47</m:t>
              </m:r>
              <m:sSub>
                <m:e>
                  <m:r>
                    <m:t>F</m:t>
                  </m:r>
                </m:e>
                <m:sub>
                  <m:r>
                    <m:t>14</m:t>
                  </m:r>
                </m:sub>
              </m:sSub>
            </m:e>
          </m:d>
          <m:r>
            <m:rPr>
              <m:sty m:val="p"/>
            </m:rPr>
            <m:t>.</m:t>
          </m:r>
        </m:oMath>
      </m:oMathPara>
    </w:p>
    <w:p>
      <w:pPr>
        <w:pStyle w:val="FirstParagraph"/>
      </w:pPr>
      <w:r>
        <w:t xml:space="preserve">To create a sampling distribution for the focal MPM, we take 2,000 independent draws from the posterior distributions obtained using these likelihoods and the priors described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credible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credible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examine contrasting settings where sampling uncertainty may matter.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itself. Analysis 3 is a simulation study with a known truth, designed to test whether these models perform well when year-to-year process variation is present across a range of effect sizes and sample sizes. Together, the three analyses cover a broad range of typical uses of published MPMs and examine how modelled sources of uncertainty affect inference in different contexts.</w:t>
      </w:r>
    </w:p>
    <w:bookmarkEnd w:id="27"/>
    <w:bookmarkStart w:id="28"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 “shape” 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r>
            <m:rPr>
              <m:sty m:val="p"/>
            </m:rPr>
            <m:t>(</m:t>
          </m:r>
          <m:r>
            <m:t>3</m:t>
          </m:r>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Thus, more positive values indicate that mortality is concentrated later in adult life, whereas more negative values indicate that mortality is concentrated earlier in adult life. When deriving a survivorship trajectory from an MPM, the apparent mortality rate necessarily flattens as the stage distribution approaches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sections S1.2 and S1.13).</w:t>
      </w:r>
    </w:p>
    <w:p>
      <w:pPr>
        <w:pStyle w:val="BodyText"/>
      </w:pPr>
      <w:r>
        <w:t xml:space="preserve">We calculated life expectancy and shape at the population level, using one population-level MPM per population. For populations with temporal replication, we used a pooled population MPM if available (i.e. a matrix constructed by pooling individual-level demographic information across periods and/or populations); otherwise, we used a population mean MPM if available (i.e. an element-by-element arithmetic mean across annual matrices); if neither was available, we constructed a population-level matrix by taking the element-wise mean of the available annual</w:t>
      </w:r>
      <w:r>
        <w:t xml:space="preserve"> </w:t>
      </w:r>
      <w:r>
        <w:rPr>
          <w:rStyle w:val="VerbatimChar"/>
        </w:rPr>
        <w:t xml:space="preserve">Individual</w:t>
      </w:r>
      <w:r>
        <w:t xml:space="preserve"> </w:t>
      </w:r>
      <w:r>
        <w:t xml:space="preserve">matrices in COMPADRE.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Our uncertainty calculations used the per-stage or per-transition sample sizes we could recover. The total estimated population size was not consistently reported across the included studies, so we did not use it. For 5 of the population matrices (one population each), we could not recover even the per-stage sample sizes, so we had no basis for estimating their uncertainty. Where these matrices were kept, the affected columns were held at their published values rather than given reconstructed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4</m:t>
          </m:r>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r>
          <m:rPr>
            <m:sty m:val="p"/>
          </m:rPr>
          <m:t>(</m:t>
        </m:r>
        <m:sSub>
          <m:e>
            <m:r>
              <m:t>μ</m:t>
            </m:r>
          </m:e>
          <m:sub>
            <m:r>
              <m:t>α</m:t>
            </m:r>
          </m:sub>
        </m:sSub>
        <m:r>
          <m:rPr>
            <m:sty m:val="p"/>
          </m:rPr>
          <m:t>,</m:t>
        </m:r>
        <m:sSup>
          <m:e>
            <m:r>
              <m:t>τ</m:t>
            </m:r>
          </m:e>
          <m:sup>
            <m:r>
              <m:t>2</m:t>
            </m:r>
          </m:sup>
        </m:sSup>
        <m:r>
          <m:rPr>
            <m:sty m:val="p"/>
          </m:rPr>
          <m:t>)</m:t>
        </m:r>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reconstructed posterior distributions rather than as fixed point estimates:</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r>
            <m:rPr>
              <m:sty m:val="p"/>
            </m:rPr>
            <m:t>(</m:t>
          </m:r>
          <m:sSub>
            <m:e>
              <m:r>
                <m:t>x</m:t>
              </m:r>
            </m:e>
            <m:sub>
              <m:r>
                <m:t>i</m:t>
              </m:r>
              <m:r>
                <m:t>j</m:t>
              </m:r>
            </m:sub>
          </m:sSub>
          <m:r>
            <m:rPr>
              <m:sty m:val="p"/>
            </m:rPr>
            <m:t>,</m:t>
          </m:r>
          <m:sSubSup>
            <m:e>
              <m:r>
                <m:t>σ</m:t>
              </m:r>
            </m:e>
            <m:sub>
              <m:r>
                <m:t>x</m:t>
              </m:r>
              <m:r>
                <m:rPr>
                  <m:sty m:val="p"/>
                </m:rPr>
                <m:t>,</m:t>
              </m:r>
              <m:r>
                <m:t>i</m:t>
              </m:r>
              <m:r>
                <m:t>j</m:t>
              </m:r>
            </m:sub>
            <m:sup>
              <m:r>
                <m:t>2</m:t>
              </m:r>
            </m:sup>
          </m:sSubSup>
          <m:r>
            <m:rPr>
              <m:sty m:val="p"/>
            </m:rPr>
            <m:t>)</m:t>
          </m:r>
          <m:r>
            <m:rPr>
              <m:sty m:val="p"/>
            </m:rPr>
            <m:t>,</m:t>
          </m:r>
          <m:r>
            <m:t>  </m:t>
          </m:r>
          <m:r>
            <m:rPr>
              <m:sty m:val="p"/>
            </m:rPr>
            <m:t>(</m:t>
          </m:r>
          <m:r>
            <m:t>6</m:t>
          </m:r>
          <m:r>
            <m:rPr>
              <m:sty m:val="p"/>
            </m:rPr>
            <m:t>)</m:t>
          </m:r>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r>
            <m:rPr>
              <m:sty m:val="p"/>
            </m:rPr>
            <m:t>(</m:t>
          </m:r>
          <m:sSub>
            <m:e>
              <m:r>
                <m:t>y</m:t>
              </m:r>
            </m:e>
            <m:sub>
              <m:r>
                <m:t>i</m:t>
              </m:r>
              <m:r>
                <m:t>j</m:t>
              </m:r>
            </m:sub>
          </m:sSub>
          <m:r>
            <m:rPr>
              <m:sty m:val="p"/>
            </m:rPr>
            <m:t>,</m:t>
          </m:r>
          <m:sSubSup>
            <m:e>
              <m:r>
                <m:t>σ</m:t>
              </m:r>
            </m:e>
            <m:sub>
              <m:r>
                <m:t>y</m:t>
              </m:r>
              <m:r>
                <m:rPr>
                  <m:sty m:val="p"/>
                </m:rPr>
                <m:t>,</m:t>
              </m:r>
              <m:r>
                <m:t>i</m:t>
              </m:r>
              <m:r>
                <m:t>j</m:t>
              </m:r>
            </m:sub>
            <m:sup>
              <m:r>
                <m:t>2</m:t>
              </m:r>
            </m:sup>
          </m:sSubSup>
          <m:r>
            <m:rPr>
              <m:sty m:val="p"/>
            </m:rPr>
            <m:t>)</m:t>
          </m:r>
          <m:r>
            <m:rPr>
              <m:sty m:val="p"/>
            </m:rPr>
            <m:t>.</m:t>
          </m:r>
          <m:r>
            <m:t>  </m:t>
          </m:r>
          <m:r>
            <m:rPr>
              <m:sty m:val="p"/>
            </m:rPr>
            <m:t>(</m:t>
          </m:r>
          <m:r>
            <m:t>7</m:t>
          </m:r>
          <m:r>
            <m:rPr>
              <m:sty m:val="p"/>
            </m:rPr>
            <m:t>)</m:t>
          </m:r>
        </m:oMath>
      </m:oMathPara>
    </w:p>
    <w:p>
      <w:pPr>
        <w:pStyle w:val="FirstParagraph"/>
      </w:pPr>
      <w:r>
        <w:t xml:space="preserve">For these models, we used priors and settings as described in Supplementary Methods section S1.4.</w:t>
      </w:r>
    </w:p>
    <w:p>
      <w:pPr>
        <w:pStyle w:val="BodyText"/>
      </w:pPr>
      <w:r>
        <w:t xml:space="preserve">In supplementary analyses, for each derived parameter we compared how much its point estimates varied across population-level MPM entries with how much its posterior means varied. A ratio greater than 1 means the point estimates are more spread out than the posterior means. It does not tell us how much of that spread comes from sampling noise and how much from genuine biological differences among populations. We obtained 95% intervals by paired bootstrap resampling of entries (Supplementary Methods section S1.5; Table</w:t>
      </w:r>
      <w:r>
        <w:t xml:space="preserve"> </w:t>
      </w:r>
      <w:r>
        <w:t xml:space="preserve">1</w:t>
      </w:r>
      <w:r>
        <w:t xml:space="preserve">).</w:t>
      </w:r>
    </w:p>
    <w:bookmarkEnd w:id="28"/>
    <w:bookmarkStart w:id="29"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(PRISM data extracted at the geographic coordinates of the study population and matched in time to the demographic observations),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 “rosette” stage class (i.e. no rosettes were observed in the sample plots). Instead of examining variation in population growth rates (which assumes ergodicity), we focus on the reproductive transition (hereafter ‘recruitment’,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and survival.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Any robustness in this analysis would therefore reflect properties of aggregate reproductive transitions under moderate sample sizes, and should not be taken to imply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(going back in time from the end of each transition interval), smoothing coefficients across neighbouring lags. The smoothing model is a Gaussian process with an exponential covariance function, as in Eq. (8),</w:t>
      </w:r>
    </w:p>
    <w:p>
      <w:pPr>
        <w:pStyle w:val="BodyText"/>
      </w:pPr>
      <m:oMathPara>
        <m:oMathParaPr>
          <m:jc m:val="center"/>
        </m:oMathParaPr>
        <m:oMath>
          <m:r>
            <m:rPr>
              <m:sty m:val="p"/>
            </m:rPr>
            <m:t>log</m:t>
          </m:r>
          <m:r>
            <m:rPr>
              <m:sty m:val="p"/>
            </m:rPr>
            <m:t>(</m:t>
          </m:r>
          <m:sSub>
            <m:e>
              <m:r>
                <m:t>y</m:t>
              </m:r>
            </m:e>
            <m:sub>
              <m:r>
                <m:t>t</m:t>
              </m:r>
            </m:sub>
          </m:sSub>
          <m:r>
            <m:rPr>
              <m:sty m:val="p"/>
            </m:rPr>
            <m:t>)</m:t>
          </m:r>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rPr>
              <m:sty m:val="p"/>
            </m:rPr>
            <m:t>,</m:t>
          </m:r>
          <m:r>
            <m:t>  </m:t>
          </m:r>
          <m:r>
            <m:rPr>
              <m:sty m:val="p"/>
            </m:rPr>
            <m:t>(</m:t>
          </m:r>
          <m:r>
            <m:t>8</m:t>
          </m:r>
          <m:r>
            <m:rPr>
              <m:sty m:val="p"/>
            </m:rPr>
            <m:t>)</m:t>
          </m:r>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i"/>
            </m:rPr>
            <m:t>K</m:t>
          </m:r>
          <m:r>
            <m:rPr>
              <m:sty m:val="p"/>
            </m:rPr>
            <m:t>)</m:t>
          </m:r>
          <m:r>
            <m:rPr>
              <m:sty m:val="p"/>
            </m:rPr>
            <m:t>,</m:t>
          </m:r>
          <m:r>
            <m:t>  </m:t>
          </m:r>
          <m:r>
            <m:rPr>
              <m:sty m:val="p"/>
            </m:rPr>
            <m:t>(</m:t>
          </m:r>
          <m:r>
            <m:t>9</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rPr>
              <m:sty m:val="p"/>
            </m:rPr>
            <m:t>,</m:t>
          </m:r>
          <m:r>
            <m:t>  </m:t>
          </m:r>
          <m:r>
            <m:rPr>
              <m:sty m:val="p"/>
            </m:rPr>
            <m:t>(</m:t>
          </m:r>
          <m:r>
            <m:t>10</m:t>
          </m:r>
          <m:r>
            <m:rPr>
              <m:sty m:val="p"/>
            </m:rPr>
            <m:t>)</m:t>
          </m:r>
        </m:oMath>
      </m:oMathPara>
    </w:p>
    <w:p>
      <w:pPr>
        <w:pStyle w:val="FirstParagraph"/>
      </w:pPr>
      <w:r>
        <w:t xml:space="preserve">respectively, 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i"/>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r>
          <m:rPr>
            <m:sty m:val="p"/>
          </m:rPr>
          <m:t>(</m:t>
        </m:r>
        <m:sSub>
          <m:e>
            <m:r>
              <m:t>N</m:t>
            </m:r>
          </m:e>
          <m:sub>
            <m:r>
              <m:t>t</m:t>
            </m:r>
            <m:r>
              <m:rPr>
                <m:sty m:val="p"/>
              </m:rPr>
              <m:t>−</m:t>
            </m:r>
            <m:r>
              <m:t>1</m:t>
            </m:r>
          </m:sub>
        </m:sSub>
        <m:r>
          <m:rPr>
            <m:sty m:val="p"/>
          </m:rPr>
          <m:t>)</m:t>
        </m:r>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 Accordingly, we model seedling counts as</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rPr>
              <m:sty m:val="p"/>
            </m:rPr>
            <m:t>,</m:t>
          </m:r>
          <m:r>
            <m:t>  </m:t>
          </m:r>
          <m:r>
            <m:rPr>
              <m:sty m:val="p"/>
            </m:rPr>
            <m:t>(</m:t>
          </m:r>
          <m:r>
            <m:t>11</m:t>
          </m:r>
          <m:r>
            <m:rPr>
              <m:sty m:val="p"/>
            </m:rPr>
            <m:t>)</m:t>
          </m:r>
        </m:oMath>
      </m:oMathPara>
    </w:p>
    <w:p>
      <w:pPr>
        <w:pStyle w:val="FirstParagraph"/>
      </w:pPr>
      <w:r>
        <w:t xml:space="preserve">and year-specific intercepts as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r>
                <m:rPr>
                  <m:sty m:val="p"/>
                </m:rPr>
                <m:t>(</m:t>
              </m:r>
              <m:sSub>
                <m:e>
                  <m:r>
                    <m:t>N</m:t>
                  </m:r>
                </m:e>
                <m:sub>
                  <m:r>
                    <m:t>t</m:t>
                  </m:r>
                  <m:r>
                    <m:rPr>
                      <m:sty m:val="p"/>
                    </m:rPr>
                    <m:t>−</m:t>
                  </m:r>
                  <m:r>
                    <m:t>1</m:t>
                  </m:r>
                </m:sub>
              </m:sSub>
              <m:r>
                <m:rPr>
                  <m:sty m:val="p"/>
                </m:rPr>
                <m:t>)</m:t>
              </m:r>
              <m:r>
                <m:rPr>
                  <m:sty m:val="p"/>
                </m:rPr>
                <m:t>,</m:t>
              </m:r>
              <m:sSubSup>
                <m:e>
                  <m:r>
                    <m:t>σ</m:t>
                  </m:r>
                </m:e>
                <m:sub>
                  <m:r>
                    <m:t>α</m:t>
                  </m:r>
                </m:sub>
                <m:sup>
                  <m:r>
                    <m:t>2</m:t>
                  </m:r>
                </m:sup>
              </m:sSubSup>
            </m:e>
          </m:d>
          <m:r>
            <m:rPr>
              <m:sty m:val="p"/>
            </m:rPr>
            <m:t>.</m:t>
          </m:r>
          <m:r>
            <m:t>  </m:t>
          </m:r>
          <m:r>
            <m:rPr>
              <m:sty m:val="p"/>
            </m:rPr>
            <m:t>(</m:t>
          </m:r>
          <m:r>
            <m:t>12</m:t>
          </m:r>
          <m:r>
            <m:rPr>
              <m:sty m:val="p"/>
            </m:rPr>
            <m:t>)</m:t>
          </m:r>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r>
          <m:rPr>
            <m:sty m:val="p"/>
          </m:rPr>
          <m:t>(</m:t>
        </m:r>
        <m:sSub>
          <m:e>
            <m:acc>
              <m:accPr>
                <m:chr m:val="̂"/>
              </m:accPr>
              <m:e>
                <m:r>
                  <m:t>r</m:t>
                </m:r>
              </m:e>
            </m:acc>
          </m:e>
          <m:sub>
            <m:r>
              <m:t>t</m:t>
            </m:r>
          </m:sub>
        </m:sSub>
        <m:r>
          <m:rPr>
            <m:sty m:val="p"/>
          </m:rPr>
          <m:t>)</m:t>
        </m:r>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We used the same coefficient prior and covariance structure as for the point-estimate model (Eqs. (9) and (10)), 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formulations on the logit scale: an SSD-weighted quasibinomial GLM for point estimates (</w:t>
      </w:r>
      <m:oMath>
        <m:r>
          <m:rPr>
            <m:nor/>
            <m:scr m:val="monospace"/>
            <m:sty m:val="p"/>
          </m:rPr>
          <m:t>surv</m:t>
        </m:r>
        <m:r>
          <m:rPr>
            <m:sty m:val="p"/>
          </m:rPr>
          <m:t>∼</m:t>
        </m:r>
        <m:r>
          <m:rPr>
            <m:nor/>
            <m:scr m:val="monospace"/>
            <m:sty m:val="p"/>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 two formulations also differ in how they weight the data, handle dispersion, and use sample sizes, so comparing them does not single out the effect of sampling uncertainty. Full implementation details are provided in Supplementary Methods sections S1.6 and S1.10. We also applied this approach to a multi-site dataset of three</w:t>
      </w:r>
      <w:r>
        <w:t xml:space="preserve"> </w:t>
      </w:r>
      <w:r>
        <w:rPr>
          <w:i/>
          <w:iCs/>
        </w:rPr>
        <w:t xml:space="preserve">Astragalus scaphoides</w:t>
      </w:r>
      <w:r>
        <w:t xml:space="preserve"> </w:t>
      </w:r>
      <w:r>
        <w:t xml:space="preserve">populations as a robustness check (Supplementary Methods section S1.10; Supplementary Results section S2.5).</w:t>
      </w:r>
    </w:p>
    <w:bookmarkEnd w:id="29"/>
    <w:bookmarkStart w:id="30" w:name="Xbcefed090b6f5aec8f7c246135f8631e1a55520"/>
    <w:p>
      <w:pPr>
        <w:pStyle w:val="Heading3"/>
      </w:pPr>
      <w:r>
        <w:t xml:space="preserve">Analysis 3: Simulation study of climate effects on fecundity</w:t>
      </w:r>
    </w:p>
    <w:p>
      <w:pPr>
        <w:pStyle w:val="FirstParagraph"/>
      </w:pPr>
      <w:r>
        <w:t xml:space="preserve">To evaluate the effect of sampling uncertainty where the true climate effect is known, we simulated annual recruitment time series from a realistic four-stage Lefkovitch MPM generated with</w:t>
      </w:r>
      <w:r>
        <w:t xml:space="preserve"> </w:t>
      </w:r>
      <w:r>
        <w:rPr>
          <w:rStyle w:val="VerbatimChar"/>
        </w:rPr>
        <w:t xml:space="preserve">mpmsim::rand_lefko_mpm()</w:t>
      </w:r>
      <w:r>
        <w:t xml:space="preserve"> </w:t>
      </w:r>
      <w:r>
        <w:t xml:space="preserve">(archetype 2). We kept a baseline matrix with population growth rate close to equilibrium (</w:t>
      </w:r>
      <m:oMath>
        <m:r>
          <m:t>λ</m:t>
        </m:r>
        <m:r>
          <m:rPr>
            <m:sty m:val="p"/>
          </m:rPr>
          <m:t>≈</m:t>
        </m:r>
        <m:r>
          <m:t>1</m:t>
        </m:r>
      </m:oMath>
      <w:r>
        <w:t xml:space="preserve">). We then imposed a climate effect on a single fecundity entry,</w:t>
      </w:r>
      <w:r>
        <w:t xml:space="preserve"> </w:t>
      </w:r>
      <m:oMath>
        <m:sSub>
          <m:e>
            <m:r>
              <m:t>F</m:t>
            </m:r>
          </m:e>
          <m:sub>
            <m:r>
              <m:t>1</m:t>
            </m:r>
            <m:r>
              <m:rPr>
                <m:sty m:val="p"/>
              </m:rPr>
              <m:t>,</m:t>
            </m:r>
            <m:r>
              <m:t>4</m:t>
            </m:r>
          </m:sub>
        </m:sSub>
      </m:oMath>
      <w:r>
        <w:t xml:space="preserve">, over</w:t>
      </w:r>
      <w:r>
        <w:t xml:space="preserve"> </w:t>
      </w:r>
      <m:oMath>
        <m:r>
          <m:t>T</m:t>
        </m:r>
        <m:r>
          <m:rPr>
            <m:sty m:val="p"/>
          </m:rPr>
          <m:t>=</m:t>
        </m:r>
        <m:r>
          <m:t>15</m:t>
        </m:r>
      </m:oMath>
      <w:r>
        <w:t xml:space="preserve"> </w:t>
      </w:r>
      <w:r>
        <w:t xml:space="preserve">annual time steps. In each simulated year, the climate covariate was drawn as</w:t>
      </w:r>
      <w:r>
        <w:t xml:space="preserve"> </w:t>
      </w:r>
      <m:oMath>
        <m:sSub>
          <m:e>
            <m:r>
              <m:t>x</m:t>
            </m:r>
          </m:e>
          <m:sub>
            <m:r>
              <m:t>t</m:t>
            </m:r>
          </m:sub>
        </m:sSub>
        <m:r>
          <m:rPr>
            <m:sty m:val="p"/>
          </m:rPr>
          <m:t>∼</m:t>
        </m:r>
        <m:r>
          <m:rPr>
            <m:nor/>
            <m:sty m:val="p"/>
          </m:rPr>
          <m:t>Normal</m:t>
        </m:r>
        <m:r>
          <m:rPr>
            <m:sty m:val="p"/>
          </m:rPr>
          <m:t>(</m:t>
        </m:r>
        <m:r>
          <m:t>0</m:t>
        </m:r>
        <m:r>
          <m:rPr>
            <m:sty m:val="p"/>
          </m:rPr>
          <m:t>,</m:t>
        </m:r>
        <m:r>
          <m:t>1</m:t>
        </m:r>
        <m:r>
          <m:rPr>
            <m:sty m:val="p"/>
          </m:rPr>
          <m:t>)</m:t>
        </m:r>
      </m:oMath>
      <w:r>
        <w:t xml:space="preserve">, and true fecundity followed</w:t>
      </w:r>
    </w:p>
    <w:p>
      <w:pPr>
        <w:pStyle w:val="BodyText"/>
      </w:pPr>
      <m:oMathPara>
        <m:oMathParaPr>
          <m:jc m:val="center"/>
        </m:oMathParaPr>
        <m:oMath>
          <m:r>
            <m:rPr>
              <m:sty m:val="p"/>
            </m:rPr>
            <m:t>log</m:t>
          </m:r>
          <m:r>
            <m:rPr>
              <m:sty m:val="p"/>
            </m:rPr>
            <m:t>(</m:t>
          </m:r>
          <m:sSub>
            <m:e>
              <m:r>
                <m:t>F</m:t>
              </m:r>
            </m:e>
            <m:sub>
              <m:r>
                <m:t>1</m:t>
              </m:r>
              <m:r>
                <m:rPr>
                  <m:sty m:val="p"/>
                </m:rPr>
                <m:t>,</m:t>
              </m:r>
              <m:r>
                <m:t>4</m:t>
              </m:r>
              <m:r>
                <m:rPr>
                  <m:sty m:val="p"/>
                </m:rPr>
                <m:t>,</m:t>
              </m:r>
              <m:r>
                <m:t>t</m:t>
              </m:r>
            </m:sub>
          </m:sSub>
          <m:r>
            <m:rPr>
              <m:sty m:val="p"/>
            </m:rPr>
            <m:t>)</m:t>
          </m:r>
          <m:r>
            <m:rPr>
              <m:sty m:val="p"/>
            </m:rPr>
            <m:t>=</m:t>
          </m:r>
          <m:r>
            <m:rPr>
              <m:sty m:val="p"/>
            </m:rPr>
            <m:t>log</m:t>
          </m:r>
          <m:r>
            <m:rPr>
              <m:sty m:val="p"/>
            </m:rPr>
            <m:t>(</m:t>
          </m:r>
          <m:sSub>
            <m:e>
              <m:r>
                <m:t>F</m:t>
              </m:r>
            </m:e>
            <m:sub>
              <m:r>
                <m:t>1</m:t>
              </m:r>
              <m:r>
                <m:rPr>
                  <m:sty m:val="p"/>
                </m:rPr>
                <m:t>,</m:t>
              </m:r>
              <m:r>
                <m:t>4</m:t>
              </m:r>
            </m:sub>
          </m:sSub>
          <m:r>
            <m:rPr>
              <m:sty m:val="p"/>
            </m:rPr>
            <m:t>)</m:t>
          </m:r>
          <m:r>
            <m:rPr>
              <m:sty m:val="p"/>
            </m:rPr>
            <m:t>+</m:t>
          </m:r>
          <m:sSub>
            <m:e>
              <m:r>
                <m:t>β</m:t>
              </m:r>
            </m:e>
            <m:sub>
              <m:r>
                <m:rPr>
                  <m:nor/>
                  <m:sty m:val="p"/>
                </m:rPr>
                <m:t>true</m:t>
              </m:r>
            </m:sub>
          </m:sSub>
          <m:sSub>
            <m:e>
              <m:r>
                <m:t>x</m:t>
              </m:r>
            </m:e>
            <m:sub>
              <m:r>
                <m:t>t</m:t>
              </m:r>
            </m:sub>
          </m:sSub>
          <m:r>
            <m:rPr>
              <m:sty m:val="p"/>
            </m:rPr>
            <m:t>+</m:t>
          </m:r>
          <m:sSub>
            <m:e>
              <m:r>
                <m:t>z</m:t>
              </m:r>
            </m:e>
            <m:sub>
              <m:r>
                <m:t>t</m:t>
              </m:r>
            </m:sub>
          </m:sSub>
          <m:r>
            <m:rPr>
              <m:sty m:val="p"/>
            </m:rPr>
            <m:t>,</m:t>
          </m:r>
          <m:r>
            <m:t>  </m:t>
          </m:r>
          <m:r>
            <m:rPr>
              <m:sty m:val="p"/>
            </m:rPr>
            <m:t>(</m:t>
          </m:r>
          <m:r>
            <m:t>13</m:t>
          </m:r>
          <m:r>
            <m:rPr>
              <m:sty m:val="p"/>
            </m:rPr>
            <m:t>)</m:t>
          </m:r>
        </m:oMath>
      </m:oMathPara>
    </w:p>
    <w:p>
      <w:pPr>
        <w:pStyle w:val="FirstParagraph"/>
      </w:pPr>
      <w:r>
        <w:t xml:space="preserve">where</w:t>
      </w:r>
      <w:r>
        <w:t xml:space="preserve"> </w:t>
      </w:r>
      <m:oMath>
        <m:sSub>
          <m:e>
            <m:r>
              <m:t>β</m:t>
            </m:r>
          </m:e>
          <m:sub>
            <m:r>
              <m:rPr>
                <m:nor/>
                <m:sty m:val="p"/>
              </m:rPr>
              <m:t>true</m:t>
            </m:r>
          </m:sub>
        </m:sSub>
      </m:oMath>
      <w:r>
        <w:t xml:space="preserve"> </w:t>
      </w:r>
      <w:r>
        <w:t xml:space="preserve">was set to 0.1, 0.3, or 0.5, and</w:t>
      </w:r>
      <w:r>
        <w:t xml:space="preserve"> </w:t>
      </w:r>
      <m:oMath>
        <m:sSub>
          <m:e>
            <m:r>
              <m:t>z</m:t>
            </m:r>
          </m:e>
          <m:sub>
            <m:r>
              <m:t>t</m:t>
            </m:r>
          </m:sub>
        </m:sSub>
        <m:r>
          <m:rPr>
            <m:sty m:val="p"/>
          </m:rPr>
          <m:t>∼</m:t>
        </m:r>
        <m:r>
          <m:rPr>
            <m:nor/>
            <m:sty m:val="p"/>
          </m:rPr>
          <m:t>Normal</m:t>
        </m:r>
        <m:r>
          <m:rPr>
            <m:sty m:val="p"/>
          </m:rPr>
          <m:t>(</m:t>
        </m:r>
        <m:r>
          <m:t>0</m:t>
        </m:r>
        <m:r>
          <m:rPr>
            <m:sty m:val="p"/>
          </m:rPr>
          <m:t>,</m:t>
        </m:r>
        <m:sSup>
          <m:e>
            <m:r>
              <m:t>0.2</m:t>
            </m:r>
          </m:e>
          <m:sup>
            <m:r>
              <m:t>2</m:t>
            </m:r>
          </m:sup>
        </m:sSup>
        <m:r>
          <m:rPr>
            <m:sty m:val="p"/>
          </m:rPr>
          <m:t>)</m:t>
        </m:r>
      </m:oMath>
      <w:r>
        <w:t xml:space="preserve"> </w:t>
      </w:r>
      <w:r>
        <w:t xml:space="preserve">represented additional year-to-year biological variation not explained by climate. For each year we then simulated observed seedling counts from finite samples of reproductive individuals, using stage sample sizes of 10, 20, 50, or 100 per year. We analysed 200 replicate time series for each effect-size and sample-size combination.</w:t>
      </w:r>
    </w:p>
    <w:p>
      <w:pPr>
        <w:pStyle w:val="BodyText"/>
      </w:pPr>
      <w:r>
        <w:t xml:space="preserve">For each simulated dataset, we fitted three models to estimate the climate effect on recruitment: (i) a Gaussian regression with a log link on annual point estimates of fecundity, (ii) a Poisson count model using observed seedling counts and an offset for the number of reproductive individuals, and (iii) a Poisson uncertainty-aware model that additionally included a latent year-specific process term analogous to</w:t>
      </w:r>
      <w:r>
        <w:t xml:space="preserve"> </w:t>
      </w:r>
      <m:oMath>
        <m:sSub>
          <m:e>
            <m:r>
              <m:t>z</m:t>
            </m:r>
          </m:e>
          <m:sub>
            <m:r>
              <m:t>t</m:t>
            </m:r>
          </m:sub>
        </m:sSub>
      </m:oMath>
      <w:r>
        <w:t xml:space="preserve">. All three models target the same log-scale climate effect; the Gaussian model uses untransformed rates as its response and assumes constant residual variance. Its 95% intervals are the usual coefficient estimate ± t × standard error. We then compared the models in terms of bias and 95% interval coverage (the proportion of replicate datasets in which the 95% interval contained the true effect</w:t>
      </w:r>
      <w:r>
        <w:t xml:space="preserve"> </w:t>
      </w:r>
      <m:oMath>
        <m:sSub>
          <m:e>
            <m:r>
              <m:t>β</m:t>
            </m:r>
          </m:e>
          <m:sub>
            <m:r>
              <m:rPr>
                <m:nor/>
                <m:sty m:val="p"/>
              </m:rPr>
              <m:t>true</m:t>
            </m:r>
          </m:sub>
        </m:sSub>
      </m:oMath>
      <w:r>
        <w:t xml:space="preserve">; a well-calibrated model achieves coverage close to the nominal 0.95). Both Poisson models allow for the sampling variation in counts; their comparison tests the effect of additionally modelling year-to-year process variation.</w:t>
      </w:r>
    </w:p>
    <w:p>
      <w:pPr>
        <w:pStyle w:val="BodyText"/>
      </w:pPr>
      <w:r>
        <w:t xml:space="preserve">Priors and fitting settings for the simulation model are given in Supplementary Methods section S1.4.</w:t>
      </w:r>
    </w:p>
    <w:p>
      <w:pPr>
        <w:pStyle w:val="BodyText"/>
      </w:pPr>
      <w:r>
        <w:t xml:space="preserve">All analyses were run in R (4.6.1) using RStan (2.32.7), with data handling and plotting in tidyverse packages.</w:t>
      </w:r>
    </w:p>
    <w:bookmarkEnd w:id="30"/>
    <w:bookmarkEnd w:id="31"/>
    <w:bookmarkEnd w:id="32"/>
    <w:bookmarkStart w:id="36" w:name="results"/>
    <w:p>
      <w:pPr>
        <w:pStyle w:val="Heading1"/>
      </w:pPr>
      <w:r>
        <w:t xml:space="preserve">Results</w:t>
      </w:r>
    </w:p>
    <w:bookmarkStart w:id="33" w:name="Xdd6638ed7316a87858b3445bbb79e25a6ceb092"/>
    <w:p>
      <w:pPr>
        <w:pStyle w:val="Heading2"/>
      </w:pPr>
      <w:r>
        <w:t xml:space="preserve">Analysis 1: Comparative analysis of mortality trajectories</w:t>
      </w:r>
    </w:p>
    <w:p>
      <w:pPr>
        <w:pStyle w:val="FirstParagraph"/>
      </w:pPr>
      <w:r>
        <w:t xml:space="preserve">We first look, across all derived traits, at how much more spread out the point estimates are than their posterior means across every population-level entry (Table</w:t>
      </w:r>
      <w:r>
        <w:t xml:space="preserve"> </w:t>
      </w:r>
      <w:r>
        <w:t xml:space="preserve">1</w:t>
      </w:r>
      <w:r>
        <w:t xml:space="preserve">). We then ask whether that extra spread is large enough to change the conclusions of a particular comparative analysis.</w:t>
      </w:r>
    </w:p>
    <w:p>
      <w:pPr>
        <w:pStyle w:val="BodyText"/>
      </w:pPr>
      <w:r>
        <w:t xml:space="preserve">For life expectancy and shape, across-entry variance of point estimates was 1.93 and 3.31 times the variance of posterior means, respectively (Table</w:t>
      </w:r>
      <w:r>
        <w:t xml:space="preserve"> </w:t>
      </w:r>
      <w:r>
        <w:t xml:space="preserve">1</w:t>
      </w:r>
      <w:r>
        <w:t xml:space="preserve">). These ratios describe how much more spread out the point estimates are, not how much of that spread comes from sampling noise rather than genuine biological differences among populations.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did not impact the overall conclusion (Fig.</w:t>
      </w:r>
      <w:r>
        <w:t xml:space="preserve"> </w:t>
      </w:r>
      <w:r>
        <w:t xml:space="preserve">4</w:t>
      </w:r>
      <w:r>
        <w:t xml:space="preserve">; Supplementary Table S3). While the posterior distribution of the slope parameter β from the point-estimate model was centred slightly to the left of zero (P[β &gt; 0] = 0.206), the corresponding posterior from the sampling-uncertainty model was shifted somewhat to the right (P[β &gt; 0] = 0.770). The posterior median of the slope therefore changed sign between the two models. This shift is not trivial, but because both posteriors span zero the overall conclusion, that there is no strong effect, is unchanged.</w:t>
      </w:r>
    </w:p>
    <w:p>
      <w:pPr>
        <w:pStyle w:val="BodyText"/>
      </w:pPr>
      <w:r>
        <w:t xml:space="preserve">Counterintuitively, there was less posterior uncertainty in β in the sampling-uncertainty model than in the point-estimate model. The reason is largely that a regression slope is harder to estimate precisely when the predictor is very spread out, since many slopes then fit the data about equally well. Boundary-survival estimates push some shape point estimates to extreme values, artificially inflating that spread; replacing them with their sampling distributions, which cluster much closer to zero (Figure</w:t>
      </w:r>
      <w:r>
        <w:t xml:space="preserve"> </w:t>
      </w:r>
      <w:r>
        <w:t xml:space="preserve">4</w:t>
      </w:r>
      <w:r>
        <w:t xml:space="preserve">A), pulls the predictor back in and tightens the slope. Posterior width also depends on the model’s assumptions and treatment of uncertainty.</w:t>
      </w:r>
    </w:p>
    <w:bookmarkEnd w:id="33"/>
    <w:bookmarkStart w:id="34"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stages 1 and 4 are labelled as not estimable because stage 1 has only four usable years and stage 4 has 100% survival in all usable years. The narrower intervals in the count model should be interpreted in light of the different likelihood and weighting assumptions, rather than attributed to uncertainty propagation alone. A supplementary multisite robustness analysis based on three</w:t>
      </w:r>
      <w:r>
        <w:t xml:space="preserve"> </w:t>
      </w:r>
      <w:r>
        <w:rPr>
          <w:i/>
          <w:iCs/>
        </w:rPr>
        <w:t xml:space="preserve">Astragalus scaphoides</w:t>
      </w:r>
      <w:r>
        <w:t xml:space="preserve"> </w:t>
      </w:r>
      <w:r>
        <w:t xml:space="preserve">populations reached the same qualitative conclusion: climate-effect inference was similar with and without explicit uncertainty propagation in that empirical setting (Supplementary Results section S2.5; Figure S5; Tables S7-S10).</w:t>
      </w:r>
    </w:p>
    <w:bookmarkEnd w:id="34"/>
    <w:bookmarkStart w:id="35" w:name="X833b9bf9308421cbeeaa896dbc36efa1f10b09d"/>
    <w:p>
      <w:pPr>
        <w:pStyle w:val="Heading2"/>
      </w:pPr>
      <w:r>
        <w:t xml:space="preserve">Analysis 3: Simulation study of climate effects on fecundity</w:t>
      </w:r>
    </w:p>
    <w:p>
      <w:pPr>
        <w:pStyle w:val="FirstParagraph"/>
      </w:pPr>
      <w:r>
        <w:t xml:space="preserve">The simulation study showed that accounting for year-to-year process variation improved the intervals’ coverage without much increasing the average error (Fig.</w:t>
      </w:r>
      <w:r>
        <w:t xml:space="preserve"> </w:t>
      </w:r>
      <w:r>
        <w:t xml:space="preserve">6</w:t>
      </w:r>
      <w:r>
        <w:t xml:space="preserve">). Across all effect sizes and sample sizes, the uncertainty-aware Poisson model achieved coverage close to the nominal 95% (0.951), whereas the simpler Poisson point-estimate model’s intervals fell well short (0.757). The two Poisson models were about equally accurate on average (RMSE 0.086 versus 0.087). Modelling this process variation therefore mainly improved how often the intervals contained the true effect, rather than the accuracy of the estimate itself.</w:t>
      </w:r>
    </w:p>
    <w:p>
      <w:pPr>
        <w:pStyle w:val="BodyText"/>
      </w:pPr>
      <w:r>
        <w:t xml:space="preserve">The Poisson point-estimate model’s intervals missed the true effect more and more often as sample size increased. Averaged across true effect sizes, its intervals contained the true effect in 0.897 of cases at sample size 10, falling to 0.593 at sample size 100, whereas the uncertainty-aware model stayed near 0.95 over the same range (0.955 to 0.952; Fig.</w:t>
      </w:r>
      <w:r>
        <w:t xml:space="preserve"> </w:t>
      </w:r>
      <w:r>
        <w:t xml:space="preserve">6</w:t>
      </w:r>
      <w:r>
        <w:t xml:space="preserve">). Larger samples shrink the sampling noise in each year’s estimate, so the point-estimate model treats its estimate as increasingly precise and its intervals narrow. But the simulated truth also varies from year to year for reasons unrelated to climate, and this variation does not shrink with sample size. The point-estimate model ignores it, so its intervals become too narrow to capture the true effect, increasingly so as samples grow, whereas the uncertainty-aware model includes a term for it and keeps its intervals about the right width. This year-to-year variation is a different source of uncertainty from the sampling noise in the transition rates that we examined in Analyses 1 and 2.</w:t>
      </w:r>
    </w:p>
    <w:p>
      <w:pPr>
        <w:pStyle w:val="BodyText"/>
      </w:pPr>
      <w:r>
        <w:t xml:space="preserve">On average, all three models estimated the climate effect with little systematic error (Fig.</w:t>
      </w:r>
      <w:r>
        <w:t xml:space="preserve"> </w:t>
      </w:r>
      <w:r>
        <w:t xml:space="preserve">6</w:t>
      </w:r>
      <w:r>
        <w:t xml:space="preserve">). For the Gaussian log-link model, the average estimate of the strongest effect (</w:t>
      </w:r>
      <m:oMath>
        <m:sSub>
          <m:e>
            <m:r>
              <m:t>β</m:t>
            </m:r>
          </m:e>
          <m:sub>
            <m:r>
              <m:rPr>
                <m:nor/>
                <m:sty m:val="p"/>
              </m:rPr>
              <m:t>true</m:t>
            </m:r>
          </m:sub>
        </m:sSub>
        <m:r>
          <m:rPr>
            <m:sty m:val="p"/>
          </m:rPr>
          <m:t>=</m:t>
        </m:r>
        <m:r>
          <m:t>0.5</m:t>
        </m:r>
      </m:oMath>
      <w:r>
        <w:t xml:space="preserve">) was off by only -0.005, but its 95% intervals contained the true effect only 0.915 of the time, below the intended 0.95. The uncertainty-aware model therefore gives both an accurate estimate and intervals that contain the true effect close to 0.95 of the time.</w:t>
      </w:r>
    </w:p>
    <w:bookmarkEnd w:id="35"/>
    <w:bookmarkEnd w:id="36"/>
    <w:bookmarkStart w:id="43" w:name="discussion"/>
    <w:p>
      <w:pPr>
        <w:pStyle w:val="Heading1"/>
      </w:pPr>
      <w:r>
        <w:t xml:space="preserve">Discussion</w:t>
      </w:r>
    </w:p>
    <w:bookmarkStart w:id="37"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The simulation analysis clarifies that this apparent robustness does not imply that point-estimate count models are generally well calibrated: when unmodelled year-to-year biological variation is present, they can remain nearly unbiased yet still become overconfident.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together with the simulation result, therefore reflects both the type of trait analysed and the type of transition underlying it.</w:t>
      </w:r>
    </w:p>
    <w:p>
      <w:pPr>
        <w:pStyle w:val="BodyText"/>
      </w:pPr>
      <w:r>
        <w:t xml:space="preserve">We use “materially affects inference” 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Point estimates were far more dispersed relative to their posterior means for mortality-trajectory traits, particularly shape, than for integrated metrics such as population growth rate (λ) and generation time (Table</w:t>
      </w:r>
      <w:r>
        <w:t xml:space="preserve"> </w:t>
      </w:r>
      <w:r>
        <w:t xml:space="preserve">1</w:t>
      </w:r>
      <w:r>
        <w:t xml:space="preserve">). This greater dispersion, together with the displacements shown in Figure</w:t>
      </w:r>
      <w:r>
        <w:t xml:space="preserve"> </w:t>
      </w:r>
      <w:r>
        <w:t xml:space="preserve">3</w:t>
      </w:r>
      <w:r>
        <w:t xml:space="preserve">, indicates that mortality-trajectory traits are more sensitive to sampling uncertainty than the directly observed recruitment response in the climate analysis.</w:t>
      </w:r>
    </w:p>
    <w:bookmarkEnd w:id="37"/>
    <w:bookmarkStart w:id="38"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clear mechanistic basis. Life expectancy and shape are inferred via age-from-stage methods, which project a cohort forward through repeated matrix multiplication, so errors in late-stage survival are not simply carried forward but compounded across projection steps, amplifying small transition-rate uncertainties into large uncertainties in long-term survivorship. Integrated metrics such as population growth rate are buffered against this, because they average over many transitions where errors tend to partially cancel, although they are not wholly immune to sampling uncertainty.</w:t>
      </w:r>
    </w:p>
    <w:p>
      <w:pPr>
        <w:pStyle w:val="BodyText"/>
      </w:pPr>
      <w:r>
        <w:t xml:space="preserve">Several structural features of published matrices may exacerbate this. In our Analysis 1 life expectancy-shape set (68 population-level matrix entries from 25 species), 47% (32/68) contain only a single reproductive stage class, 69% (47/68) reach their quasi-stable distribution in less than one life expectancy, and 46% (31/68) contain at least one stage-specific survival estimate of 100% after rescaling any</w:t>
      </w:r>
      <w:r>
        <w:t xml:space="preserve"> </w:t>
      </w:r>
      <m:oMath>
        <m:r>
          <m:t>U</m:t>
        </m:r>
      </m:oMath>
      <w:r>
        <w:t xml:space="preserve"> </w:t>
      </w:r>
      <w:r>
        <w:t xml:space="preserve">columns whose sums exceeded 1 (allowing for floating-point rounding). These are not rare edge cases; they are common features in our dataset that may contribute to displacement of derived trait estimates from the centre of their sampling distributions.</w:t>
      </w:r>
    </w:p>
    <w:p>
      <w:pPr>
        <w:pStyle w:val="BodyText"/>
      </w:pPr>
      <w:r>
        <w:t xml:space="preserve">Consistent with this explanation, within the Analysis 1 dataset displacement magnitude increases with both the number of boundary survival stages and the proportion of sampled individuals occupying those stages (Supplementary Methods section S1.12; Table S13; Figure S3).</w:t>
      </w:r>
    </w:p>
    <w:bookmarkEnd w:id="38"/>
    <w:bookmarkStart w:id="39"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Highly aggregated demographic metrics, such as population growth rate and generation time, were among the least sensitive in our dataset, so analyses focused on them will often be robust to sampling uncertainty. Analyses of ageing, longevity, or mortality trajectories were more sensitive and warrant particular caution.</w:t>
      </w:r>
    </w:p>
    <w:p>
      <w:pPr>
        <w:pStyle w:val="BodyText"/>
      </w:pPr>
      <w:r>
        <w:t xml:space="preserve">Generalisability is also conditioned by taxonomic representation. Relative to the full current COMPADRE plant database, our final 31-study subset is enriched for herbaceous perennials (64.5% of studies in our subset versus 49.1% in COMPADRE overall) and succulents (16.1% versus 7.8%), while trees (6.5% versus 15.4%) and shrubs (3.2% versus 9.0%) are under-represented; annuals and several less common plant life forms are absent entirely. This skew mirrors a documented bias in plant demographic data more broadly, towards short-term studies of temperate-region herbaceous perennials (Römer et al. 2024). Our conclusions should therefore be interpreted most directly for perennial herb and succulent systems, and more cautiously for woody or otherwise under-represented life forms.</w:t>
      </w:r>
    </w:p>
    <w:p>
      <w:pPr>
        <w:pStyle w:val="BodyText"/>
      </w:pPr>
      <w:r>
        <w:t xml:space="preserve">Within the analysed subset, the warning signs most relevant to uncertainty propagation were also unevenly distributed. Boundary survival estimates and very small stage counts were concentrated mainly in herbaceous perennial systems and in larger matrices: among 6+-stage population-level entries, 61.1% contained at least one boundary survival estimate and 44.4% had at least one stage with</w:t>
      </w:r>
      <w:r>
        <w:t xml:space="preserve"> </w:t>
      </w:r>
      <m:oMath>
        <m:r>
          <m:t>N</m:t>
        </m:r>
        <m:r>
          <m:rPr>
            <m:sty m:val="p"/>
          </m:rPr>
          <m:t>&lt;</m:t>
        </m:r>
        <m:r>
          <m:t>20</m:t>
        </m:r>
      </m:oMath>
      <w:r>
        <w:t xml:space="preserve">, compared with 36.0% and 26.0%, respectively, for 3-5-stage entries (Table S12). This pattern is consistent with the practical intuition that more weakly observed stage classes create more opportunities for boundary estimates, although woody life forms remain too sparse in our final subset for a strong life-form-specific comparison (Supplementary Methods section S1.11).</w:t>
      </w:r>
    </w:p>
    <w:p>
      <w:pPr>
        <w:pStyle w:val="BodyText"/>
      </w:pPr>
      <w:r>
        <w:t xml:space="preserve">As provisional screening heuristics, analyses warrant particular caution when: any stage has survival &gt;0.95 or &lt;0.05, or is estimated from fewer than 20 individuals; the matrix has only a single reproductive stage class; or the time to quasi-stable distribution is less than one life expectancy. Conversely, analyses may be less sensitive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p>
      <w:pPr>
        <w:pStyle w:val="BodyText"/>
      </w:pPr>
      <w:r>
        <w:t xml:space="preserve">Our analyses used count-based, stage-structured (Lefkovitch) matrices, and the consequences of sampling uncertainty may differ for other widely used demographic model types. In age-based (Leslie) models, vital rates are indexed by age rather than stage, so the age-from-stage reconstruction that amplifies late-stage survival errors in our Analysis 1 does not arise in the same way, but uncertainty can still accumulate when survival is projected across ages. Analyses built directly from individual-level data, such as integral projection models or capture-recapture survival models, typically estimate vital rates by sharing information across ages or sizes; such partial pooling tends to reduce the variance of weakly informed rates but can induce correlations among them, altering both the magnitude and the structure of the uncertainty that propagates to derived quantities. In those settings, propagating uncertainty from the joint posterior of the fitted vital-rate model, rather than treating rate estimates as independent, would be the natural extension of our approach.</w:t>
      </w:r>
    </w:p>
    <w:bookmarkEnd w:id="39"/>
    <w:bookmarkStart w:id="40"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0"/>
    <w:bookmarkStart w:id="41"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In our own screening, most otherwise-eligible studies had to be excluded for exactly this reason.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 “correct” 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1"/>
    <w:bookmarkStart w:id="42"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integrated metrics such as population growth rate and generation time, point estimates were only modestly more dispersed than their posterior means, whereas for mortality-trajectory traits, including life expectancy and especially the shape of the mortality distribution, they were much more dispersed and more sensitive to sampling uncertainty. In these cases, point estimates can be displaced from the centres of their posterior distributions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2"/>
    <w:bookmarkEnd w:id="43"/>
    <w:bookmarkStart w:id="44"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4"/>
    <w:bookmarkStart w:id="45"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5"/>
    <w:bookmarkStart w:id="46" w:name="conflict-of-interest"/>
    <w:p>
      <w:pPr>
        <w:pStyle w:val="Heading1"/>
      </w:pPr>
      <w:r>
        <w:t xml:space="preserve">Conflict of interest</w:t>
      </w:r>
    </w:p>
    <w:p>
      <w:pPr>
        <w:pStyle w:val="FirstParagraph"/>
      </w:pPr>
      <w:r>
        <w:t xml:space="preserve">The authors declare no conflict of interest.</w:t>
      </w:r>
    </w:p>
    <w:bookmarkEnd w:id="46"/>
    <w:bookmarkStart w:id="48"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47">
        <w:r>
          <w:rPr>
            <w:rStyle w:val="Hyperlink"/>
          </w:rPr>
          <w:t xml:space="preserve">https://doi.org/10.5281/zenodo.19474729</w:t>
        </w:r>
      </w:hyperlink>
      <w:r>
        <w:t xml:space="preserve">.</w:t>
      </w:r>
    </w:p>
    <w:bookmarkEnd w:id="48"/>
    <w:bookmarkStart w:id="49"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Comparison of point-estimate and posterior-mean variance.</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Included versus excluded studies in the current target-study screen.</w:t>
      </w:r>
    </w:p>
    <w:p>
      <w:pPr>
        <w:pStyle w:val="Compact"/>
        <w:numPr>
          <w:ilvl w:val="0"/>
          <w:numId w:val="1002"/>
        </w:numPr>
      </w:pPr>
      <w:r>
        <w:rPr>
          <w:b/>
          <w:bCs/>
        </w:rPr>
        <w:t xml:space="preserve">Supplementary Methods S1.9</w:t>
      </w:r>
      <w:r>
        <w:t xml:space="preserve">: Species identities in Analysis 1.</w:t>
      </w:r>
    </w:p>
    <w:p>
      <w:pPr>
        <w:pStyle w:val="Compact"/>
        <w:numPr>
          <w:ilvl w:val="0"/>
          <w:numId w:val="1002"/>
        </w:numPr>
      </w:pPr>
      <w:r>
        <w:rPr>
          <w:b/>
          <w:bCs/>
        </w:rPr>
        <w:t xml:space="preserve">Supplementary Methods S1.10</w:t>
      </w:r>
      <w:r>
        <w:t xml:space="preserve">: Multisite robustness extension of Analysis 2 (</w:t>
      </w:r>
      <w:r>
        <w:rPr>
          <w:i/>
          <w:iCs/>
        </w:rPr>
        <w:t xml:space="preserve">Astragalus scaphoides</w:t>
      </w:r>
      <w:r>
        <w:t xml:space="preserve">).</w:t>
      </w:r>
    </w:p>
    <w:p>
      <w:pPr>
        <w:pStyle w:val="Compact"/>
        <w:numPr>
          <w:ilvl w:val="0"/>
          <w:numId w:val="1002"/>
        </w:numPr>
      </w:pPr>
      <w:r>
        <w:rPr>
          <w:b/>
          <w:bCs/>
        </w:rPr>
        <w:t xml:space="preserve">Supplementary Methods S1.11</w:t>
      </w:r>
      <w:r>
        <w:t xml:space="preserve">: Boundary survival estimates and small stage-specific sample sizes in Analysis 1.</w:t>
      </w:r>
    </w:p>
    <w:p>
      <w:pPr>
        <w:pStyle w:val="Compact"/>
        <w:numPr>
          <w:ilvl w:val="0"/>
          <w:numId w:val="1002"/>
        </w:numPr>
      </w:pPr>
      <w:r>
        <w:rPr>
          <w:b/>
          <w:bCs/>
        </w:rPr>
        <w:t xml:space="preserve">Supplementary Methods S1.12</w:t>
      </w:r>
      <w:r>
        <w:t xml:space="preserve">: Displacement magnitude versus boundary survival structure.</w:t>
      </w:r>
    </w:p>
    <w:p>
      <w:pPr>
        <w:pStyle w:val="Compact"/>
        <w:numPr>
          <w:ilvl w:val="0"/>
          <w:numId w:val="1002"/>
        </w:numPr>
      </w:pPr>
      <w:r>
        <w:rPr>
          <w:b/>
          <w:bCs/>
        </w:rPr>
        <w:t xml:space="preserve">Supplementary Methods S1.13</w:t>
      </w:r>
      <w:r>
        <w:t xml:space="preserve">: Sensitivity to the quasi-stable-distribution truncation threshold.</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Supplementary Results S2.2</w:t>
      </w:r>
      <w:r>
        <w:t xml:space="preserve">: Where do boundary estimates and small stage counts occur?</w:t>
      </w:r>
    </w:p>
    <w:p>
      <w:pPr>
        <w:pStyle w:val="Compact"/>
        <w:numPr>
          <w:ilvl w:val="0"/>
          <w:numId w:val="1002"/>
        </w:numPr>
      </w:pPr>
      <w:r>
        <w:rPr>
          <w:b/>
          <w:bCs/>
        </w:rPr>
        <w:t xml:space="preserve">Supplementary Results S2.3</w:t>
      </w:r>
      <w:r>
        <w:t xml:space="preserve">: Does displacement increase with boundary survival structure?</w:t>
      </w:r>
    </w:p>
    <w:p>
      <w:pPr>
        <w:pStyle w:val="Compact"/>
        <w:numPr>
          <w:ilvl w:val="0"/>
          <w:numId w:val="1002"/>
        </w:numPr>
      </w:pPr>
      <w:r>
        <w:rPr>
          <w:b/>
          <w:bCs/>
        </w:rPr>
        <w:t xml:space="preserve">Supplementary Results S2.4</w:t>
      </w:r>
      <w:r>
        <w:t xml:space="preserve">: Sensitivity of shape estimates to the truncation threshold.</w:t>
      </w:r>
    </w:p>
    <w:p>
      <w:pPr>
        <w:pStyle w:val="Compact"/>
        <w:numPr>
          <w:ilvl w:val="0"/>
          <w:numId w:val="1002"/>
        </w:numPr>
      </w:pPr>
      <w:r>
        <w:rPr>
          <w:b/>
          <w:bCs/>
        </w:rPr>
        <w:t xml:space="preserve">Supplementary Results S2.5</w:t>
      </w:r>
      <w:r>
        <w:t xml:space="preserve">: Multisite robustness analysis in</w:t>
      </w:r>
      <w:r>
        <w:t xml:space="preserve"> </w:t>
      </w:r>
      <w:r>
        <w:rPr>
          <w:i/>
          <w:iCs/>
        </w:rPr>
        <w:t xml:space="preserve">Astragalus scaphoides</w:t>
      </w:r>
      <w:r>
        <w:t xml:space="preserve">.</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Multisite robustness-analysis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Multisite robustness-analysis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Multisite robustness-analysis stage-specific survival-temperature coefficients under no weights and SSD weights.</w:t>
      </w:r>
    </w:p>
    <w:p>
      <w:pPr>
        <w:pStyle w:val="Compact"/>
        <w:numPr>
          <w:ilvl w:val="0"/>
          <w:numId w:val="1002"/>
        </w:numPr>
      </w:pPr>
      <w:r>
        <w:rPr>
          <w:b/>
          <w:bCs/>
        </w:rPr>
        <w:t xml:space="preserve">Table S11</w:t>
      </w:r>
      <w:r>
        <w:t xml:space="preserve">: Comparison of screened target studies that were included versus excluded under the current reproducible COMPADRE-based screen.</w:t>
      </w:r>
    </w:p>
    <w:p>
      <w:pPr>
        <w:pStyle w:val="Compact"/>
        <w:numPr>
          <w:ilvl w:val="0"/>
          <w:numId w:val="1002"/>
        </w:numPr>
      </w:pPr>
      <w:r>
        <w:rPr>
          <w:b/>
          <w:bCs/>
        </w:rPr>
        <w:t xml:space="preserve">Table S12</w:t>
      </w:r>
      <w:r>
        <w:t xml:space="preserve">: Distribution of boundary survival estimates and small stage-specific sample sizes across Analysis 1 population-level MPM entries.</w:t>
      </w:r>
    </w:p>
    <w:p>
      <w:pPr>
        <w:pStyle w:val="Compact"/>
        <w:numPr>
          <w:ilvl w:val="0"/>
          <w:numId w:val="1002"/>
        </w:numPr>
      </w:pPr>
      <w:r>
        <w:rPr>
          <w:b/>
          <w:bCs/>
        </w:rPr>
        <w:t xml:space="preserve">Table S13</w:t>
      </w:r>
      <w:r>
        <w:t xml:space="preserve">: Linear models relating displacement magnitude in Analysis 1 to boundary-survival predictors.</w:t>
      </w:r>
    </w:p>
    <w:p>
      <w:pPr>
        <w:pStyle w:val="Compact"/>
        <w:numPr>
          <w:ilvl w:val="0"/>
          <w:numId w:val="1002"/>
        </w:numPr>
      </w:pPr>
      <w:r>
        <w:rPr>
          <w:b/>
          <w:bCs/>
        </w:rPr>
        <w:t xml:space="preserve">Table S14</w:t>
      </w:r>
      <w:r>
        <w:t xml:space="preserve">: Sensitivity of Analysis 1 shape estimates to the quasi-stable-distribution truncation threshold.</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pPr>
        <w:pStyle w:val="Compact"/>
        <w:numPr>
          <w:ilvl w:val="0"/>
          <w:numId w:val="1002"/>
        </w:numPr>
      </w:pPr>
      <w:r>
        <w:rPr>
          <w:b/>
          <w:bCs/>
        </w:rPr>
        <w:t xml:space="preserve">Figure S3</w:t>
      </w:r>
      <w:r>
        <w:t xml:space="preserve">: Displacement magnitude in Analysis 1 versus boundary-survival structure.</w:t>
      </w:r>
    </w:p>
    <w:p>
      <w:pPr>
        <w:pStyle w:val="Compact"/>
        <w:numPr>
          <w:ilvl w:val="0"/>
          <w:numId w:val="1002"/>
        </w:numPr>
      </w:pPr>
      <w:r>
        <w:rPr>
          <w:b/>
          <w:bCs/>
        </w:rPr>
        <w:t xml:space="preserve">Figure S4</w:t>
      </w:r>
      <w:r>
        <w:t xml:space="preserve">: Sensitivity of Analysis 1 shape estimates to the quasi-stable-distribution truncation threshold.</w:t>
      </w:r>
    </w:p>
    <w:p>
      <w:pPr>
        <w:pStyle w:val="Compact"/>
        <w:numPr>
          <w:ilvl w:val="0"/>
          <w:numId w:val="1002"/>
        </w:numPr>
      </w:pPr>
      <w:r>
        <w:rPr>
          <w:b/>
          <w:bCs/>
        </w:rPr>
        <w:t xml:space="preserve">Figure S5</w:t>
      </w:r>
      <w:r>
        <w:t xml:space="preserve">: Multisite robustness analysis for</w:t>
      </w:r>
      <w:r>
        <w:t xml:space="preserve"> </w:t>
      </w:r>
      <w:r>
        <w:rPr>
          <w:i/>
          <w:iCs/>
        </w:rPr>
        <w:t xml:space="preserve">Astragalus scaphoides</w:t>
      </w:r>
      <w:r>
        <w:t xml:space="preserve">.</w:t>
      </w:r>
    </w:p>
    <w:p>
      <w:r>
        <w:br w:type="page"/>
      </w:r>
    </w:p>
    <w:bookmarkEnd w:id="49"/>
    <w:bookmarkStart w:id="89"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0">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1">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2">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3">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4">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5">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6">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7">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58">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59">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0">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1">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2">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3">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4">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6">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7">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68">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69">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0">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1">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2">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3">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4">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5">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6">
        <w:r>
          <w:rPr>
            <w:rStyle w:val="Hyperlink"/>
          </w:rPr>
          <w:t xml:space="preserve">https://doi.org/10.1890/15-0846R.1</w:t>
        </w:r>
      </w:hyperlink>
    </w:p>
    <w:p>
      <w:pPr>
        <w:pStyle w:val="BodyText"/>
      </w:pPr>
      <w:r>
        <w:t xml:space="preserve">PRISM Group, Oregon State University (2026) PRISM Climate Data.</w:t>
      </w:r>
      <w:r>
        <w:t xml:space="preserve"> </w:t>
      </w:r>
      <w:hyperlink r:id="rId77">
        <w:r>
          <w:rPr>
            <w:rStyle w:val="Hyperlink"/>
          </w:rPr>
          <w:t xml:space="preserve">https://prism.oregonstate.edu</w:t>
        </w:r>
      </w:hyperlink>
      <w:r>
        <w:t xml:space="preserve">. Data created 04 Feb 2026, accessed 28 Feb 2026.</w:t>
      </w:r>
    </w:p>
    <w:p>
      <w:pPr>
        <w:pStyle w:val="BodyText"/>
      </w:pPr>
      <w:r>
        <w:t xml:space="preserve">Römer, G., Dahlgren, J. P., Salguero-Gómez, R., Stott, I. M., and Jones, O. R. (2024) Plant demographic knowledge is biased towards short-term studies of temperate-region herbaceous perennials.</w:t>
      </w:r>
      <w:r>
        <w:t xml:space="preserve"> </w:t>
      </w:r>
      <w:r>
        <w:rPr>
          <w:i/>
          <w:iCs/>
        </w:rPr>
        <w:t xml:space="preserve">Oikos</w:t>
      </w:r>
      <w:r>
        <w:t xml:space="preserve">, 2024, e10250.</w:t>
      </w:r>
      <w:r>
        <w:t xml:space="preserve"> </w:t>
      </w:r>
      <w:hyperlink r:id="rId78">
        <w:r>
          <w:rPr>
            <w:rStyle w:val="Hyperlink"/>
          </w:rPr>
          <w:t xml:space="preserve">https://doi.org/10.1111/oik.10250</w:t>
        </w:r>
      </w:hyperlink>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79">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0">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1">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2">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3">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4">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5">
        <w:r>
          <w:rPr>
            <w:rStyle w:val="Hyperlink"/>
          </w:rPr>
          <w:t xml:space="preserve">https://mc-stan.org/</w:t>
        </w:r>
      </w:hyperlink>
      <w:r>
        <w:t xml:space="preserve"> </w:t>
      </w:r>
      <w:hyperlink r:id="rId86">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7">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8">
        <w:r>
          <w:rPr>
            <w:rStyle w:val="Hyperlink"/>
          </w:rPr>
          <w:t xml:space="preserve">https://doi.org/10.1371/journal.pone.0119163</w:t>
        </w:r>
      </w:hyperlink>
    </w:p>
    <w:p>
      <w:r>
        <w:br w:type="page"/>
      </w:r>
    </w:p>
    <w:bookmarkEnd w:id="89"/>
    <w:bookmarkStart w:id="91" w:name="tables"/>
    <w:p>
      <w:pPr>
        <w:pStyle w:val="Heading1"/>
      </w:pPr>
      <w:r>
        <w:t xml:space="preserve">Tables</w:t>
      </w:r>
    </w:p>
    <w:p>
      <w:pPr>
        <w:pStyle w:val="TableCaption"/>
      </w:pPr>
      <w:bookmarkStart w:id="90" w:name="tab:table-case1-var"/>
      <w:bookmarkEnd w:id="90"/>
      <w:r>
        <w:t xml:space="preserve">Table 1:</w:t>
      </w:r>
      <w:r>
        <w:t xml:space="preserve"> </w:t>
      </w:r>
      <w:r>
        <w:t xml:space="preserve">Across-entry variance ratios for key demographic parameters in Analysis 1, with 95% intervals from paired bootstrap resampling of population-level entries. Each ratio is the variance of matrix point estimates divided by the variance of reconstructed posterior means across the same entries; values above 1 indicate that point estimates are more spread out than posterior means, not how much of that spread is due to sampling noise rather than genuine biological differences. The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1768"/>
        <w:gridCol w:w="1621"/>
      </w:tblGrid>
      <w:tr>
        <w:trPr>
          <w:trHeight w:val="573"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Variance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interval</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 5.06]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 2.55]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 1.15]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 1.29]</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 2.22]</w:t>
            </w:r>
          </w:p>
        </w:tc>
      </w:tr>
      <w:tr>
        <w:trPr>
          <w:trHeight w:val="6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 2.59]</w:t>
            </w:r>
          </w:p>
        </w:tc>
      </w:tr>
    </w:tbl>
    <w:p>
      <w:r>
        <w:br w:type="page"/>
      </w:r>
    </w:p>
    <w:bookmarkEnd w:id="91"/>
    <w:bookmarkStart w:id="116"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posterior uncertainty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 title="" id="93" name="Picture"/>
            <a:graphic>
              <a:graphicData uri="http://schemas.openxmlformats.org/drawingml/2006/picture">
                <pic:pic>
                  <pic:nvPicPr>
                    <pic:cNvPr descr="/Users/jones/GitHubRepos/mpm-uncertainty/docs/manuscript/submission/sampling_uncertainty_mpm_combined_files/b2aba0db56ecc9ec329c1fce4627fa03b466ca53.png" id="94" name="Picture"/>
                    <pic:cNvPicPr>
                      <a:picLocks noChangeArrowheads="1" noChangeAspect="1"/>
                    </pic:cNvPicPr>
                  </pic:nvPicPr>
                  <pic:blipFill>
                    <a:blip r:embed="rId92"/>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5" w:name="fig:fig-main-1a"/>
      <w:bookmarkEnd w:id="95"/>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posterior uncertainty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 title="" id="97" name="Picture"/>
            <a:graphic>
              <a:graphicData uri="http://schemas.openxmlformats.org/drawingml/2006/picture">
                <pic:pic>
                  <pic:nvPicPr>
                    <pic:cNvPr descr="/Users/jones/GitHubRepos/mpm-uncertainty/docs/manuscript/submission/sampling_uncertainty_mpm_combined_files/0d4d790f4c43f8144c7f28ee99151a38ae6a0687.png" id="98" name="Picture"/>
                    <pic:cNvPicPr>
                      <a:picLocks noChangeArrowheads="1" noChangeAspect="1"/>
                    </pic:cNvPicPr>
                  </pic:nvPicPr>
                  <pic:blipFill>
                    <a:blip r:embed="rId96"/>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99" w:name="fig:fig-main-1b"/>
      <w:bookmarkEnd w:id="99"/>
      <w:r>
        <w:t xml:space="preserve">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 title="" id="101" name="Picture"/>
            <a:graphic>
              <a:graphicData uri="http://schemas.openxmlformats.org/drawingml/2006/picture">
                <pic:pic>
                  <pic:nvPicPr>
                    <pic:cNvPr descr="/Users/jones/GitHubRepos/mpm-uncertainty/docs/manuscript/submission/sampling_uncertainty_mpm_combined_files/1d97de92535eeb793298a583ba95629e1012f164.png" id="102" name="Picture"/>
                    <pic:cNvPicPr>
                      <a:picLocks noChangeArrowheads="1" noChangeAspect="1"/>
                    </pic:cNvPicPr>
                  </pic:nvPicPr>
                  <pic:blipFill>
                    <a:blip r:embed="rId100"/>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3" w:name="fig:fig-main-2"/>
      <w:bookmarkEnd w:id="103"/>
      <w:r>
        <w:t xml:space="preserve">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2.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itle="" id="105" name="Picture"/>
            <a:graphic>
              <a:graphicData uri="http://schemas.openxmlformats.org/drawingml/2006/picture">
                <pic:pic>
                  <pic:nvPicPr>
                    <pic:cNvPr descr="/Users/jones/GitHubRepos/mpm-uncertainty/docs/manuscript/submission/sampling_uncertainty_mpm_combined_files/7c9ac97e04e15033da8eb02c12609c6ff06b67c9.png" id="106" name="Picture"/>
                    <pic:cNvPicPr>
                      <a:picLocks noChangeArrowheads="1" noChangeAspect="1"/>
                    </pic:cNvPicPr>
                  </pic:nvPicPr>
                  <pic:blipFill>
                    <a:blip r:embed="rId104"/>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7" w:name="fig:fig-main-3"/>
      <w:bookmarkEnd w:id="107"/>
      <w:r>
        <w:t xml:space="preserve">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2</w:t>
      </w:r>
      <w:r>
        <w:t xml:space="preserve">.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 title="" id="109" name="Picture"/>
            <a:graphic>
              <a:graphicData uri="http://schemas.openxmlformats.org/drawingml/2006/picture">
                <pic:pic>
                  <pic:nvPicPr>
                    <pic:cNvPr descr="/Users/jones/GitHubRepos/mpm-uncertainty/docs/manuscript/submission/sampling_uncertainty_mpm_combined_files/a6908c9fdaad80a63daccb74c5d4bef0a9c255fe.png" id="110" name="Picture"/>
                    <pic:cNvPicPr>
                      <a:picLocks noChangeArrowheads="1" noChangeAspect="1"/>
                    </pic:cNvPicPr>
                  </pic:nvPicPr>
                  <pic:blipFill>
                    <a:blip r:embed="rId108"/>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1" w:name="fig:fig-main-4"/>
      <w:bookmarkEnd w:id="111"/>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w:t>
      </w:r>
    </w:p>
    <w:p>
      <w:r>
        <w:br w:type="page"/>
      </w:r>
    </w:p>
    <w:p>
      <w:pPr>
        <w:pStyle w:val="CaptionedFigure"/>
      </w:pPr>
      <w:r>
        <w:drawing>
          <wp:inline>
            <wp:extent cx="5727700" cy="4455476"/>
            <wp:effectExtent b="0" l="0" r="0" t="0"/>
            <wp:docPr descr="Figure 6: Simulation analysis of climate effects on fecundity, showing that modelling year-to-year process variation improves interval performance while keeping bias low. The upper row shows bias, and the lower row shows 95% interval coverage, across four sample sizes and three true effect sizes (beta = 0.1, 0.3, and 0.5). The Gaussian log-link point-estimate model (purple) has little average bias but its intervals are too narrow, especially at stronger climate effects. The Poisson point-estimate model (blue) is nearly unbiased but its intervals miss the true effect too often, especially at larger sample sizes. The uncertainty-aware Poisson model (green) keeps coverage close to the expected 95% level across the full design." title="" id="113" name="Picture"/>
            <a:graphic>
              <a:graphicData uri="http://schemas.openxmlformats.org/drawingml/2006/picture">
                <pic:pic>
                  <pic:nvPicPr>
                    <pic:cNvPr descr="/Users/jones/GitHubRepos/mpm-uncertainty/docs/manuscript/submission/sampling_uncertainty_mpm_combined_files/d55ce53c4bbd0e5d0036a5a9bf2b0c3c47fdc349.png" id="114" name="Picture"/>
                    <pic:cNvPicPr>
                      <a:picLocks noChangeArrowheads="1" noChangeAspect="1"/>
                    </pic:cNvPicPr>
                  </pic:nvPicPr>
                  <pic:blipFill>
                    <a:blip r:embed="rId112"/>
                    <a:stretch>
                      <a:fillRect/>
                    </a:stretch>
                  </pic:blipFill>
                  <pic:spPr bwMode="auto">
                    <a:xfrm>
                      <a:off x="0" y="0"/>
                      <a:ext cx="5727700" cy="4455476"/>
                    </a:xfrm>
                    <a:prstGeom prst="rect">
                      <a:avLst/>
                    </a:prstGeom>
                    <a:noFill/>
                    <a:ln w="9525">
                      <a:noFill/>
                      <a:headEnd/>
                      <a:tailEnd/>
                    </a:ln>
                  </pic:spPr>
                </pic:pic>
              </a:graphicData>
            </a:graphic>
          </wp:inline>
        </w:drawing>
      </w:r>
    </w:p>
    <w:p>
      <w:pPr>
        <w:pStyle w:val="ImageCaption"/>
      </w:pPr>
      <w:bookmarkStart w:id="115" w:name="fig:fig-main-5"/>
      <w:bookmarkEnd w:id="115"/>
      <w:r>
        <w:t xml:space="preserve">Figure 6: Simulation analysis of climate effects on fecundity, showing that modelling year-to-year process variation improves interval performance while keeping bias low. The upper row shows bias, and the lower row shows 95% interval coverage, across four sample sizes and three true effect sizes (beta = 0.1, 0.3, and 0.5). The Gaussian log-link point-estimate model (purple) has little average bias but its intervals are too narrow, especially at stronger climate effects. The Poisson point-estimate model (blue) is nearly unbiased but its intervals miss the true effect too often, especially at larger sample sizes. The uncertainty-aware Poisson model (green) keeps coverage close to the expected 95% level across the full design.</w:t>
      </w:r>
    </w:p>
    <w:p>
      <w:r>
        <w:br w:type="page"/>
      </w:r>
    </w:p>
    <w:bookmarkEnd w:id="116"/>
    <w:bookmarkStart w:id="130" w:name="supplementary-methods"/>
    <w:p>
      <w:pPr>
        <w:pStyle w:val="Heading1"/>
      </w:pPr>
      <w:r>
        <w:t xml:space="preserve">Supplementary Methods</w:t>
      </w:r>
    </w:p>
    <w:bookmarkStart w:id="117" w:name="X8db80bf293cd88c959aa74ef5a7560efca860c5"/>
    <w:p>
      <w:pPr>
        <w:pStyle w:val="Heading2"/>
      </w:pPr>
      <w:r>
        <w:t xml:space="preserve">S1.1 Sampling-distribution workflow used for each MPM</w:t>
      </w:r>
    </w:p>
    <w:p>
      <w:pPr>
        <w:pStyle w:val="FirstParagraph"/>
      </w:pPr>
      <w:r>
        <w:t xml:space="preserve">We reconstructed transition-rate uncertainty by direct conjugate posterior sampling, using 2,000 draws per MPM for the illustrative example and 1,000 for Analysis 1. For each origin-stage column of</w:t>
      </w:r>
      <w:r>
        <w:t xml:space="preserve"> </w:t>
      </w:r>
      <m:oMath>
        <m:r>
          <m:t>U</m:t>
        </m:r>
      </m:oMath>
      <w:r>
        <w:t xml:space="preserve">, allowed living transitions and death were drawn jointly from</w:t>
      </w:r>
      <w:r>
        <w:t xml:space="preserve"> </w:t>
      </w:r>
      <m:oMath>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r>
          <m:rPr>
            <m:sty m:val="p"/>
          </m:rPr>
          <m:t>(</m:t>
        </m:r>
        <m:sSub>
          <m:e>
            <m:r>
              <m:t>k</m:t>
            </m:r>
          </m:e>
          <m:sub>
            <m:r>
              <m:t>1</m:t>
            </m:r>
          </m:sub>
        </m:sSub>
        <m:r>
          <m:rPr>
            <m:sty m:val="p"/>
          </m:rPr>
          <m:t>+</m:t>
        </m:r>
        <m:r>
          <m:t>1</m:t>
        </m:r>
        <m:r>
          <m:rPr>
            <m:sty m:val="p"/>
          </m:rPr>
          <m:t>,</m:t>
        </m:r>
        <m:r>
          <m:rPr>
            <m:sty m:val="p"/>
          </m:rPr>
          <m:t>…</m:t>
        </m:r>
        <m:r>
          <m:rPr>
            <m:sty m:val="p"/>
          </m:rPr>
          <m:t>,</m:t>
        </m:r>
        <m:sSub>
          <m:e>
            <m:r>
              <m:t>k</m:t>
            </m:r>
          </m:e>
          <m:sub>
            <m:r>
              <m:t>m</m:t>
            </m:r>
          </m:sub>
        </m:sSub>
        <m:r>
          <m:rPr>
            <m:sty m:val="p"/>
          </m:rPr>
          <m:t>+</m:t>
        </m:r>
        <m:r>
          <m:t>1</m:t>
        </m:r>
        <m:r>
          <m:rPr>
            <m:sty m:val="p"/>
          </m:rPr>
          <m:t>)</m:t>
        </m:r>
      </m:oMath>
      <w:r>
        <w:t xml:space="preserve">, corresponding to a multinomial likelihood and a</w:t>
      </w:r>
      <w:r>
        <w:t xml:space="preserve"> </w:t>
      </w:r>
      <m:oMath>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r>
          <m:rPr>
            <m:sty m:val="p"/>
          </m:rPr>
          <m:t>(</m:t>
        </m:r>
        <m:r>
          <m:t>1</m:t>
        </m:r>
        <m:r>
          <m:rPr>
            <m:sty m:val="p"/>
          </m:rPr>
          <m:t>,</m:t>
        </m:r>
        <m:r>
          <m:rPr>
            <m:sty m:val="p"/>
          </m:rPr>
          <m:t>…</m:t>
        </m:r>
        <m:r>
          <m:rPr>
            <m:sty m:val="p"/>
          </m:rPr>
          <m:t>,</m:t>
        </m:r>
        <m:r>
          <m:t>1</m:t>
        </m:r>
        <m:r>
          <m:rPr>
            <m:sty m:val="p"/>
          </m:rPr>
          <m:t>)</m:t>
        </m:r>
      </m:oMath>
      <w:r>
        <w:t xml:space="preserve"> </w:t>
      </w:r>
      <w:r>
        <w:t xml:space="preserve">prior. Counts</w:t>
      </w:r>
      <w:r>
        <w:t xml:space="preserve"> </w:t>
      </w:r>
      <m:oMath>
        <m:sSub>
          <m:e>
            <m:r>
              <m:t>k</m:t>
            </m:r>
          </m:e>
          <m:sub>
            <m:r>
              <m:t>m</m:t>
            </m:r>
          </m:sub>
        </m:sSub>
      </m:oMath>
      <w:r>
        <w:t xml:space="preserve"> </w:t>
      </w:r>
      <w:r>
        <w:t xml:space="preserve">were reconstructed as transition rates multiplied by stage sample size, after rescaling any</w:t>
      </w:r>
      <w:r>
        <w:t xml:space="preserve"> </w:t>
      </w:r>
      <m:oMath>
        <m:r>
          <m:t>U</m:t>
        </m:r>
      </m:oMath>
      <w:r>
        <w:t xml:space="preserve"> </w:t>
      </w:r>
      <w:r>
        <w:t xml:space="preserve">column whose sum exceeded 1. These reconstructed counts may be fractional for rounded or averaged matrix entries. Each allowed reproductive rate was drawn from</w:t>
      </w:r>
      <w:r>
        <w:t xml:space="preserve"> </w:t>
      </w:r>
      <m:oMath>
        <m:r>
          <m:rPr>
            <m:sty m:val="p"/>
          </m:rPr>
          <m:t>G</m:t>
        </m:r>
        <m:r>
          <m:rPr>
            <m:sty m:val="p"/>
          </m:rPr>
          <m:t>a</m:t>
        </m:r>
        <m:r>
          <m:rPr>
            <m:sty m:val="p"/>
          </m:rPr>
          <m:t>m</m:t>
        </m:r>
        <m:r>
          <m:rPr>
            <m:sty m:val="p"/>
          </m:rPr>
          <m:t>m</m:t>
        </m:r>
        <m:r>
          <m:rPr>
            <m:sty m:val="p"/>
          </m:rPr>
          <m:t>a</m:t>
        </m:r>
        <m:r>
          <m:rPr>
            <m:sty m:val="p"/>
          </m:rPr>
          <m:t>(</m:t>
        </m:r>
        <m:r>
          <m:t>1</m:t>
        </m:r>
        <m:r>
          <m:rPr>
            <m:sty m:val="p"/>
          </m:rPr>
          <m:t>+</m:t>
        </m:r>
        <m:r>
          <m:t>k</m:t>
        </m:r>
        <m:r>
          <m:rPr>
            <m:sty m:val="p"/>
          </m:rPr>
          <m:t>,</m:t>
        </m:r>
        <m:r>
          <m:rPr>
            <m:nor/>
            <m:sty m:val="p"/>
          </m:rPr>
          <m:t>rate</m:t>
        </m:r>
        <m:r>
          <m:rPr>
            <m:sty m:val="p"/>
          </m:rPr>
          <m:t>=</m:t>
        </m:r>
        <m:r>
          <m:t>n</m:t>
        </m:r>
        <m:r>
          <m:rPr>
            <m:sty m:val="p"/>
          </m:rPr>
          <m:t>)</m:t>
        </m:r>
      </m:oMath>
      <w:r>
        <w:t xml:space="preserve">, where</w:t>
      </w:r>
      <w:r>
        <w:t xml:space="preserve"> </w:t>
      </w:r>
      <m:oMath>
        <m:r>
          <m:t>k</m:t>
        </m:r>
        <m:r>
          <m:rPr>
            <m:sty m:val="p"/>
          </m:rPr>
          <m:t>=</m:t>
        </m:r>
        <m:r>
          <m:t>n</m:t>
        </m:r>
        <m:sSub>
          <m:e>
            <m:r>
              <m:t>F</m:t>
            </m:r>
          </m:e>
          <m:sub>
            <m:r>
              <m:t>i</m:t>
            </m:r>
            <m:r>
              <m:t>j</m:t>
            </m:r>
          </m:sub>
        </m:sSub>
      </m:oMath>
      <w:r>
        <w:t xml:space="preserve">, corresponding to a Poisson likelihood and an improper flat prior on the non-negative rate scale. These are posterior parameter draws, not bootstrap resamples of observations. We rebuilt each MPM and recalculated derived quantities for every draw.</w:t>
      </w:r>
    </w:p>
    <w:p>
      <w:pPr>
        <w:pStyle w:val="BodyText"/>
      </w:pPr>
      <w:r>
        <w:t xml:space="preserve">Allowed-transition masks default to positive entries in the focal matrix; where masks are constructed across matrices, an entry is allowed if positive in any contributing matrix. Other entries remain zero. Death is included even when its reconstructed count is zero, provided the column has an allowed living transition. This does not establish that excluded zero-valued transitions are biologically impossible. A missing sample size leaves its column unchanged; a sample size of zero produces a missing simulated column. Neither case supplies a posterior uncertainty estimate for that column. Figure 1C displays normalised marginal binomial or Poisson likelihood curves under flat priors over the plotted range; these are distinct from the joint Dirichlet draws used for derived quantities.</w:t>
      </w:r>
    </w:p>
    <w:p>
      <w:pPr>
        <w:pStyle w:val="BodyText"/>
      </w:pPr>
      <w:r>
        <w:t xml:space="preserve">Point estimates correspond to values derived directly from the reported matrix entries; uncertainty-aware summaries describe the reconstructed posterior distributions.</w:t>
      </w:r>
    </w:p>
    <w:bookmarkEnd w:id="117"/>
    <w:bookmarkStart w:id="118"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18"/>
    <w:bookmarkStart w:id="119"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posterior sampling. This captures within-year sampling variation but does not fully represent between-year process variation, so the resulting uncertainty should be interpreted conservatively.</w:t>
      </w:r>
    </w:p>
    <w:bookmarkEnd w:id="119"/>
    <w:bookmarkStart w:id="120"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three main analyses:</w:t>
      </w:r>
    </w:p>
    <w:p>
      <w:pPr>
        <w:pStyle w:val="Compact"/>
        <w:numPr>
          <w:ilvl w:val="0"/>
          <w:numId w:val="1003"/>
        </w:numPr>
      </w:pPr>
      <w:r>
        <w:t xml:space="preserve">Analysis 1 models use normal priors for location/slope terms and half-normal priors for positive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Gaussian-process recruitment models with normal priors on GP hyperparameters and coefficients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plus spring-temperature models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Compact"/>
        <w:numPr>
          <w:ilvl w:val="0"/>
          <w:numId w:val="1003"/>
        </w:numPr>
      </w:pPr>
      <w:r>
        <w:t xml:space="preserve">Analysis 3 fits its model with year-specific process variation using</w:t>
      </w:r>
      <w:r>
        <w:t xml:space="preserve"> </w:t>
      </w:r>
      <w:r>
        <w:rPr>
          <w:rStyle w:val="VerbatimChar"/>
        </w:rPr>
        <w:t xml:space="preserve">models/poisson_climate_latent.stan</w:t>
      </w:r>
      <w:r>
        <w:t xml:space="preserve">: the intercept and climate coefficient have</w:t>
      </w:r>
      <w:r>
        <w:t xml:space="preserve"> </w:t>
      </w:r>
      <m:oMath>
        <m:r>
          <m:rPr>
            <m:nor/>
            <m:sty m:val="p"/>
          </m:rPr>
          <m:t>Normal</m:t>
        </m:r>
        <m:r>
          <m:rPr>
            <m:sty m:val="p"/>
          </m:rPr>
          <m:t>(</m:t>
        </m:r>
        <m:r>
          <m:t>0</m:t>
        </m:r>
        <m:r>
          <m:rPr>
            <m:sty m:val="p"/>
          </m:rPr>
          <m:t>,</m:t>
        </m:r>
        <m:r>
          <m:t>2</m:t>
        </m:r>
        <m:r>
          <m:rPr>
            <m:sty m:val="p"/>
          </m:rPr>
          <m:t>)</m:t>
        </m:r>
      </m:oMath>
      <w:r>
        <w:t xml:space="preserve"> </w:t>
      </w:r>
      <w:r>
        <w:t xml:space="preserve">and</w:t>
      </w:r>
      <w:r>
        <w:t xml:space="preserve"> </w:t>
      </w:r>
      <m:oMath>
        <m:r>
          <m:rPr>
            <m:nor/>
            <m:sty m:val="p"/>
          </m:rPr>
          <m:t>Normal</m:t>
        </m:r>
        <m:r>
          <m:rPr>
            <m:sty m:val="p"/>
          </m:rPr>
          <m:t>(</m:t>
        </m:r>
        <m:r>
          <m:t>0</m:t>
        </m:r>
        <m:r>
          <m:rPr>
            <m:sty m:val="p"/>
          </m:rPr>
          <m:t>,</m:t>
        </m:r>
        <m:r>
          <m:t>1</m:t>
        </m:r>
        <m:r>
          <m:rPr>
            <m:sty m:val="p"/>
          </m:rPr>
          <m:t>)</m:t>
        </m:r>
      </m:oMath>
      <w:r>
        <w:t xml:space="preserve"> </w:t>
      </w:r>
      <w:r>
        <w:t xml:space="preserve">priors, respectively; the process standard deviation has an</w:t>
      </w:r>
      <w:r>
        <w:t xml:space="preserve"> </w:t>
      </w:r>
      <m:oMath>
        <m:r>
          <m:rPr>
            <m:nor/>
            <m:sty m:val="p"/>
          </m:rPr>
          <m:t>Exponential</m:t>
        </m:r>
        <m:r>
          <m:rPr>
            <m:sty m:val="p"/>
          </m:rPr>
          <m:t>(</m:t>
        </m:r>
        <m:r>
          <m:t>1</m:t>
        </m:r>
        <m:r>
          <m:rPr>
            <m:sty m:val="p"/>
          </m:rPr>
          <m:t>)</m:t>
        </m:r>
      </m:oMath>
      <w:r>
        <w:t xml:space="preserve"> </w:t>
      </w:r>
      <w:r>
        <w:t xml:space="preserve">prior, and the standardised year effects have</w:t>
      </w:r>
      <w:r>
        <w:t xml:space="preserve"> </w:t>
      </w:r>
      <m:oMath>
        <m:r>
          <m:rPr>
            <m:nor/>
            <m:sty m:val="p"/>
          </m:rPr>
          <m:t>Normal</m:t>
        </m:r>
        <m:r>
          <m:rPr>
            <m:sty m:val="p"/>
          </m:rPr>
          <m:t>(</m:t>
        </m:r>
        <m:r>
          <m:t>0</m:t>
        </m:r>
        <m:r>
          <m:rPr>
            <m:sty m:val="p"/>
          </m:rPr>
          <m:t>,</m:t>
        </m:r>
        <m:r>
          <m:t>1</m:t>
        </m:r>
        <m:r>
          <m:rPr>
            <m:sty m:val="p"/>
          </m:rPr>
          <m:t>)</m:t>
        </m:r>
      </m:oMath>
      <w:r>
        <w:t xml:space="preserve"> </w:t>
      </w:r>
      <w:r>
        <w:t xml:space="preserve">priors. Its Gaussian and Poisson point-estimate models use</w:t>
      </w:r>
      <w:r>
        <w:t xml:space="preserve"> </w:t>
      </w:r>
      <w:r>
        <w:rPr>
          <w:rStyle w:val="VerbatimChar"/>
        </w:rPr>
        <w:t xml:space="preserve">stats::glm()</w:t>
      </w:r>
      <w:r>
        <w:t xml:space="preserve"> </w:t>
      </w:r>
      <w:r>
        <w:t xml:space="preserve">and have no Bayesian priors.</w:t>
      </w:r>
    </w:p>
    <w:p>
      <w:pPr>
        <w:pStyle w:val="Compact"/>
        <w:numPr>
          <w:ilvl w:val="0"/>
          <w:numId w:val="1003"/>
        </w:numPr>
      </w:pPr>
      <w:r>
        <w:t xml:space="preserve">The multisite</w:t>
      </w:r>
      <w:r>
        <w:t xml:space="preserve"> </w:t>
      </w:r>
      <w:r>
        <w:rPr>
          <w:i/>
          <w:iCs/>
        </w:rPr>
        <w:t xml:space="preserve">Astragalus scaphoides</w:t>
      </w:r>
      <w:r>
        <w:t xml:space="preserve"> </w:t>
      </w:r>
      <w:r>
        <w:t xml:space="preserve">robustness analysis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4"/>
        </w:numPr>
      </w:pPr>
      <w:r>
        <w:t xml:space="preserve">Analysis 3 (</w:t>
      </w:r>
      <w:r>
        <w:rPr>
          <w:rStyle w:val="VerbatimChar"/>
        </w:rPr>
        <w:t xml:space="preserve">scripts/S16_analysis_3_simulation.R</w:t>
      </w:r>
      <w:r>
        <w:t xml:space="preserve">):</w:t>
      </w:r>
      <w:r>
        <w:t xml:space="preserve"> </w:t>
      </w:r>
      <w:r>
        <w:rPr>
          <w:rStyle w:val="VerbatimChar"/>
        </w:rPr>
        <w:t xml:space="preserve">chains = 4</w:t>
      </w:r>
      <w:r>
        <w:t xml:space="preserve">,</w:t>
      </w:r>
      <w:r>
        <w:t xml:space="preserve"> </w:t>
      </w:r>
      <w:r>
        <w:rPr>
          <w:rStyle w:val="VerbatimChar"/>
        </w:rPr>
        <w:t xml:space="preserve">iter = 3000</w:t>
      </w:r>
      <w:r>
        <w:t xml:space="preserve">,</w:t>
      </w:r>
      <w:r>
        <w:t xml:space="preserve"> </w:t>
      </w:r>
      <w:r>
        <w:rPr>
          <w:rStyle w:val="VerbatimChar"/>
        </w:rPr>
        <w:t xml:space="preserve">warmup = 1500</w:t>
      </w:r>
      <w:r>
        <w:t xml:space="preserve">, and a separate reproducible seed for each simulated time series.</w:t>
      </w:r>
    </w:p>
    <w:p>
      <w:pPr>
        <w:pStyle w:val="Compact"/>
        <w:numPr>
          <w:ilvl w:val="0"/>
          <w:numId w:val="1004"/>
        </w:numPr>
      </w:pPr>
      <w:r>
        <w:t xml:space="preserve">Multisite</w:t>
      </w:r>
      <w:r>
        <w:t xml:space="preserve"> </w:t>
      </w:r>
      <w:r>
        <w:rPr>
          <w:i/>
          <w:iCs/>
        </w:rPr>
        <w:t xml:space="preserve">Astragalus scaphoides</w:t>
      </w:r>
      <w:r>
        <w:t xml:space="preserve"> </w:t>
      </w:r>
      <w:r>
        <w:t xml:space="preserve">robustness analysis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120"/>
    <w:bookmarkStart w:id="121" w:name="Xfc1757ff7d617a25f149ff0e411af1965911e9e"/>
    <w:p>
      <w:pPr>
        <w:pStyle w:val="Heading2"/>
      </w:pPr>
      <w:r>
        <w:t xml:space="preserve">S1.5 Comparison of point-estimate and posterior-mean variance</w:t>
      </w:r>
    </w:p>
    <w:p>
      <w:pPr>
        <w:pStyle w:val="FirstParagraph"/>
      </w:pPr>
      <w:r>
        <w:t xml:space="preserve">For each parameter, we compared variance across population-level MPM entries using:</w:t>
      </w:r>
    </w:p>
    <w:p>
      <w:pPr>
        <w:pStyle w:val="Compact"/>
        <w:numPr>
          <w:ilvl w:val="0"/>
          <w:numId w:val="1005"/>
        </w:numPr>
      </w:pPr>
      <w:r>
        <w:t xml:space="preserve">the value derived from each matrix point estimate,</w:t>
      </w:r>
      <w:r>
        <w:t xml:space="preserve"> </w:t>
      </w:r>
      <m:oMath>
        <m:sSub>
          <m:e>
            <m:acc>
              <m:accPr>
                <m:chr m:val="̂"/>
              </m:accPr>
              <m:e>
                <m:r>
                  <m:t>θ</m:t>
                </m:r>
              </m:e>
            </m:acc>
          </m:e>
          <m:sub>
            <m:r>
              <m:t>p</m:t>
            </m:r>
          </m:sub>
        </m:sSub>
      </m:oMath>
      <w:r>
        <w:t xml:space="preserve">;</w:t>
      </w:r>
    </w:p>
    <w:p>
      <w:pPr>
        <w:pStyle w:val="Compact"/>
        <w:numPr>
          <w:ilvl w:val="0"/>
          <w:numId w:val="1005"/>
        </w:numPr>
      </w:pPr>
      <w:r>
        <w:t xml:space="preserve">the mean of its reconstructed posterior distribution,</w:t>
      </w:r>
      <w:r>
        <w:t xml:space="preserve"> </w:t>
      </w:r>
      <m:oMath>
        <m:sSub>
          <m:e>
            <m:acc>
              <m:accPr>
                <m:chr m:val="‾"/>
              </m:accPr>
              <m:e>
                <m:r>
                  <m:t>θ</m:t>
                </m:r>
              </m:e>
            </m:acc>
          </m:e>
          <m:sub>
            <m:r>
              <m:t>p</m:t>
            </m:r>
          </m:sub>
        </m:sSub>
      </m:oMath>
      <w:r>
        <w:t xml:space="preserve">.</w:t>
      </w:r>
    </w:p>
    <w:p>
      <w:pPr>
        <w:pStyle w:val="FirstParagraph"/>
      </w:pPr>
      <w:r>
        <w:t xml:space="preserve">For population-level entries</w:t>
      </w:r>
      <w:r>
        <w:t xml:space="preserve"> </w:t>
      </w:r>
      <m:oMath>
        <m:r>
          <m:t>p</m:t>
        </m:r>
      </m:oMath>
      <w:r>
        <w:t xml:space="preserve">, the reported ratio is Eq. (14):</w:t>
      </w:r>
    </w:p>
    <w:p>
      <w:pPr>
        <w:pStyle w:val="BodyText"/>
      </w:pPr>
      <m:oMathPara>
        <m:oMathParaPr>
          <m:jc m:val="center"/>
        </m:oMathParaPr>
        <m:oMath>
          <m:r>
            <m:rPr>
              <m:nor/>
              <m:sty m:val="p"/>
            </m:rPr>
            <m:t>ratio</m:t>
          </m:r>
          <m:r>
            <m:rPr>
              <m:sty m:val="p"/>
            </m:rPr>
            <m:t>=</m:t>
          </m:r>
          <m:f>
            <m:fPr>
              <m:type m:val="bar"/>
            </m:fPr>
            <m:num>
              <m:sSub>
                <m:e>
                  <m:r>
                    <m:rPr>
                      <m:sty m:val="p"/>
                    </m:rPr>
                    <m:t>Var</m:t>
                  </m:r>
                </m:e>
                <m:sub>
                  <m:r>
                    <m:t>p</m:t>
                  </m:r>
                </m:sub>
              </m:sSub>
              <m:r>
                <m:rPr>
                  <m:sty m:val="p"/>
                </m:rPr>
                <m:t>(</m:t>
              </m:r>
              <m:sSub>
                <m:e>
                  <m:acc>
                    <m:accPr>
                      <m:chr m:val="̂"/>
                    </m:accPr>
                    <m:e>
                      <m:r>
                        <m:t>θ</m:t>
                      </m:r>
                    </m:e>
                  </m:acc>
                </m:e>
                <m:sub>
                  <m:r>
                    <m:t>p</m:t>
                  </m:r>
                </m:sub>
              </m:sSub>
              <m:r>
                <m:rPr>
                  <m:sty m:val="p"/>
                </m:rPr>
                <m:t>)</m:t>
              </m:r>
            </m:num>
            <m:den>
              <m:sSub>
                <m:e>
                  <m:r>
                    <m:rPr>
                      <m:sty m:val="p"/>
                    </m:rPr>
                    <m:t>Var</m:t>
                  </m:r>
                </m:e>
                <m:sub>
                  <m:r>
                    <m:t>p</m:t>
                  </m:r>
                </m:sub>
              </m:sSub>
              <m:r>
                <m:rPr>
                  <m:sty m:val="p"/>
                </m:rPr>
                <m:t>(</m:t>
              </m:r>
              <m:sSub>
                <m:e>
                  <m:acc>
                    <m:accPr>
                      <m:chr m:val="‾"/>
                    </m:accPr>
                    <m:e>
                      <m:r>
                        <m:t>θ</m:t>
                      </m:r>
                    </m:e>
                  </m:acc>
                </m:e>
                <m:sub>
                  <m:r>
                    <m:t>p</m:t>
                  </m:r>
                </m:sub>
              </m:sSub>
              <m:r>
                <m:rPr>
                  <m:sty m:val="p"/>
                </m:rPr>
                <m:t>)</m:t>
              </m:r>
            </m:den>
          </m:f>
          <m:r>
            <m:rPr>
              <m:sty m:val="p"/>
            </m:rPr>
            <m:t>.</m:t>
          </m:r>
          <m:r>
            <m:t>  </m:t>
          </m:r>
          <m:r>
            <m:rPr>
              <m:sty m:val="p"/>
            </m:rPr>
            <m:t>(</m:t>
          </m:r>
          <m:r>
            <m:t>14</m:t>
          </m:r>
          <m:r>
            <m:rPr>
              <m:sty m:val="p"/>
            </m:rPr>
            <m:t>)</m:t>
          </m:r>
        </m:oMath>
      </m:oMathPara>
    </w:p>
    <w:p>
      <w:pPr>
        <w:pStyle w:val="FirstParagraph"/>
      </w:pPr>
      <w:r>
        <w:t xml:space="preserve">Ratios above 1 indicate that point estimates are more dispersed than posterior means. We obtained 95% intervals by resampling population-level entries with replacement 2,000 times, keeping each point estimate paired with its posterior mean. This descriptive ratio does not say how much of that spread is due to sampling noise rather than genuine biological differences.</w:t>
      </w:r>
    </w:p>
    <w:bookmarkEnd w:id="121"/>
    <w:bookmarkStart w:id="122"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 The quasibinomial model estimates dispersion, whereas the binomial model fixes it at 1; together with the different weights, this prevents attributing interval-width differences solely to sampling uncertainty. Intervals are coefficient estimates ± 1.96 standard errors (95% Wald confidence intervals). Stages failing the fitting criteria (at least five usable years, variation in temperature, and both survivors and deaths) are labelled as not estimable.</w:t>
      </w:r>
    </w:p>
    <w:bookmarkEnd w:id="122"/>
    <w:bookmarkStart w:id="123"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3"/>
    <w:bookmarkStart w:id="124"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assembled on the basis of temporal replication (at least four annual matrices); these eight studies were excluded from this screen-based comparison. The requirement of at least four annual matrices applied only to those five pre-2010 studies, which were added to support the time-series analyses; it was not a selection criterion for the full 31-study dataset used across all analyses.</w:t>
      </w:r>
    </w:p>
    <w:bookmarkEnd w:id="124"/>
    <w:bookmarkStart w:id="125" w:name="Xa94d0151380c98c8f0742d728782bf95f083eb5"/>
    <w:p>
      <w:pPr>
        <w:pStyle w:val="Heading2"/>
      </w:pPr>
      <w:r>
        <w:t xml:space="preserve">S1.9 Study and species identities in Analysis 1</w:t>
      </w:r>
    </w:p>
    <w:p>
      <w:pPr>
        <w:pStyle w:val="FirstParagraph"/>
      </w:pPr>
      <w:r>
        <w:t xml:space="preserve">The Analysis 1 life expectancy-shape models used 68 population-level matrix entries representing 25 species. This is a different subset from the boundary/small-sample audit in section S1.11. Study-level and species-level identities (including COMPADRE</w:t>
      </w:r>
      <w:r>
        <w:t xml:space="preserve"> </w:t>
      </w:r>
      <w:r>
        <w:rPr>
          <w:rStyle w:val="VerbatimChar"/>
        </w:rPr>
        <w:t xml:space="preserve">SpeciesAuthor</w:t>
      </w:r>
      <w:r>
        <w:t xml:space="preserve"> </w:t>
      </w:r>
      <w:r>
        <w:t xml:space="preserve">labels) are provided in Table S6.</w:t>
      </w:r>
    </w:p>
    <w:bookmarkEnd w:id="125"/>
    <w:bookmarkStart w:id="126" w:name="Xe17a52e6c92e8ef1d01ed7772a11f9653dc0919"/>
    <w:p>
      <w:pPr>
        <w:pStyle w:val="Heading2"/>
      </w:pPr>
      <w:r>
        <w:t xml:space="preserve">S1.10 Multisite robustness extension of Analysis 2 (</w:t>
      </w:r>
      <w:r>
        <w:rPr>
          <w:i/>
          <w:iCs/>
        </w:rPr>
        <w:t xml:space="preserve">Astragalus scaphoides</w:t>
      </w:r>
      <w:r>
        <w:t xml:space="preserve">)</w:t>
      </w:r>
    </w:p>
    <w:p>
      <w:pPr>
        <w:pStyle w:val="FirstParagraph"/>
      </w:pPr>
      <w:r>
        <w:t xml:space="preserve">To evaluate whether the Analysis 2 conclusions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as a supplementary robustness analysis.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compares model formulations within each site rather than isolating the contribution of uncertainty propagation.</w:t>
      </w:r>
    </w:p>
    <w:p>
      <w:pPr>
        <w:pStyle w:val="BodyText"/>
      </w:pPr>
      <w:r>
        <w:t xml:space="preserve">For stage-specific survival in this supplementary robustness analysis, we used the same pair of formulations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 linear predictor and logit link are shared, but weighting and dispersion assumptions also differ, as described in section S1.6; the comparison therefore does not isolate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126"/>
    <w:bookmarkStart w:id="127"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a separate set of 68 population-level entries from 28 species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This audit used unscaled</w:t>
      </w:r>
      <w:r>
        <w:t xml:space="preserve"> </w:t>
      </w:r>
      <m:oMath>
        <m:r>
          <m:t>U</m:t>
        </m:r>
      </m:oMath>
      <w:r>
        <w:t xml:space="preserve"> </w:t>
      </w:r>
      <w:r>
        <w:t xml:space="preserve">matrices, with exactly 100% survival in 22/68 entries, rather than the rescaled matrices and model subset described in the main Discussion. These summaries are descriptive and intended to identify where potentially fragile point estimates are concentrated in the analysed subset.</w:t>
      </w:r>
    </w:p>
    <w:bookmarkEnd w:id="127"/>
    <w:bookmarkStart w:id="128" w:name="Xbcc0c51d82b2bf49c697952fc977fc249429e0d"/>
    <w:p>
      <w:pPr>
        <w:pStyle w:val="Heading2"/>
      </w:pPr>
      <w:r>
        <w:t xml:space="preserve">S1.12 Displacement magnitude versus boundary survival structure</w:t>
      </w:r>
    </w:p>
    <w:p>
      <w:pPr>
        <w:pStyle w:val="FirstParagraph"/>
      </w:pPr>
      <w:r>
        <w:t xml:space="preserve">To examine factors associated with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128"/>
    <w:bookmarkStart w:id="129"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posterior uncertainty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129"/>
    <w:bookmarkEnd w:id="130"/>
    <w:bookmarkStart w:id="136" w:name="supplementary-results"/>
    <w:p>
      <w:pPr>
        <w:pStyle w:val="Heading1"/>
      </w:pPr>
      <w:r>
        <w:t xml:space="preserve">Supplementary Results</w:t>
      </w:r>
    </w:p>
    <w:bookmarkStart w:id="131"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the</w:t>
      </w:r>
      <w:r>
        <w:t xml:space="preserve"> </w:t>
      </w:r>
      <w:r>
        <w:rPr>
          <w:i/>
          <w:iCs/>
        </w:rPr>
        <w:t xml:space="preserve">Astragalus</w:t>
      </w:r>
      <w:r>
        <w:t xml:space="preserve"> </w:t>
      </w:r>
      <w:r>
        <w:t xml:space="preserve">robustness analysis,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31"/>
    <w:bookmarkStart w:id="132"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45.3% of entries containing at least one boundary survival estimate and 34.0% containing at least one stage with</w:t>
      </w:r>
      <w:r>
        <w:t xml:space="preserve"> </w:t>
      </w:r>
      <m:oMath>
        <m:r>
          <m:t>N</m:t>
        </m:r>
        <m:r>
          <m:rPr>
            <m:sty m:val="p"/>
          </m:rPr>
          <m:t>&lt;</m:t>
        </m:r>
        <m:r>
          <m:t>20</m:t>
        </m:r>
      </m:oMath>
      <w:r>
        <w:t xml:space="preserve">. Succulents showed lower corresponding values (22.2% and 22.2%, respectively). Woody life forms were too sparsely represented in the final subset for strong conclusions. By matrix dimension, both features were more common in 6+-stage matrices than in 3-5-stage matrices (61.1% versus 36.0% for any boundary estimate; 44.4% versus 26.0% for any stage with</w:t>
      </w:r>
      <w:r>
        <w:t xml:space="preserve"> </w:t>
      </w:r>
      <m:oMath>
        <m:r>
          <m:t>N</m:t>
        </m:r>
        <m:r>
          <m:rPr>
            <m:sty m:val="p"/>
          </m:rPr>
          <m:t>&lt;</m:t>
        </m:r>
        <m:r>
          <m:t>20</m:t>
        </m:r>
      </m:oMath>
      <w:r>
        <w:t xml:space="preserve">; Table S12).</w:t>
      </w:r>
    </w:p>
    <w:p>
      <w:pPr>
        <w:pStyle w:val="BodyText"/>
      </w:pPr>
      <w:r>
        <w:t xml:space="preserve">Boundary survival estimates can arise from finite sampling of discrete stage classes. Finer stage classes do not necessarily reduce these estimates and may leave fewer observations per class. Information sharing in fitted vital-rate models, such as those used to construct integral projection models, may reduce boundary estimates through smoothing rather than finer discretisation alone.</w:t>
      </w:r>
    </w:p>
    <w:bookmarkEnd w:id="132"/>
    <w:bookmarkStart w:id="133"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associations are consistent with the proposed mechanism, but do not establish causality.</w:t>
      </w:r>
    </w:p>
    <w:bookmarkEnd w:id="133"/>
    <w:bookmarkStart w:id="134"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These results indicate that shape estimates were generally stable across the thresholds tested. We did not refit the downstream regressions, so their sensitivity to threshold choice remains untested.</w:t>
      </w:r>
    </w:p>
    <w:bookmarkEnd w:id="134"/>
    <w:bookmarkStart w:id="135" w:name="X0b01ca79d9e4593467360b1d50abe8ce91f2738"/>
    <w:p>
      <w:pPr>
        <w:pStyle w:val="Heading2"/>
      </w:pPr>
      <w:r>
        <w:t xml:space="preserve">S2.5 Multisite robustness analysis in</w:t>
      </w:r>
      <w:r>
        <w:t xml:space="preserve"> </w:t>
      </w:r>
      <w:r>
        <w:rPr>
          <w:i/>
          <w:iCs/>
        </w:rPr>
        <w:t xml:space="preserve">Astragalus scaphoides</w:t>
      </w:r>
    </w:p>
    <w:p>
      <w:pPr>
        <w:pStyle w:val="FirstParagraph"/>
      </w:pPr>
      <w:r>
        <w:t xml:space="preserve">For recruitment, applying the Analysis 2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than differences between model formulations (Figure S5). Across sites, we had 9-11 years of annual demographic records, with 8-10 years retained for model fitting after filtering (0-3 years excluded;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(Table S8). Monthly-lag coefficient profiles were likewise highly concordant between formulations, with within-site correlations of posterior medians ranging from 0.992 to 0.997 and a maximum lag-specific median difference of 0.042 (Figure S5). These results support the main-text conclusion from Analysis 2 that climate-effect inference can be robust to transition-rate sampling uncertainty in this empirical setting.</w:t>
      </w:r>
    </w:p>
    <w:bookmarkEnd w:id="135"/>
    <w:bookmarkEnd w:id="136"/>
    <w:bookmarkStart w:id="137"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95% credible intervals from reconstructed posterior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Multisite robustness-analysis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Multisite robustness-analysis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Multisite robustness-analysis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Included studies have a higher mean proportion of boundary survival estimates, especially estimates of exactly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44"/>
        <w:gridCol w:w="2592"/>
        <w:gridCol w:w="1008"/>
        <w:gridCol w:w="720"/>
        <w:gridCol w:w="1152"/>
        <w:gridCol w:w="792"/>
        <w:gridCol w:w="64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5"/>
                <w:szCs w:val="15"/>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summarising the stability of shape estimates across the thresholds tested; downstream regressions were not refitted.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137"/>
    <w:bookmarkStart w:id="153" w:name="supplementary-figures"/>
    <w:p>
      <w:pPr>
        <w:pStyle w:val="Heading1"/>
      </w:pPr>
      <w:r>
        <w:t xml:space="preserve">Supplementary Figures</w:t>
      </w:r>
    </w:p>
    <w:p>
      <w:pPr>
        <w:pStyle w:val="FirstParagraph"/>
      </w:pPr>
      <w:r>
        <w:t xml:space="preserve">Figure S1.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pPr>
        <w:pStyle w:val="BodyText"/>
      </w:pPr>
      <w:r>
        <w:drawing>
          <wp:inline>
            <wp:extent cx="5727700" cy="3665728"/>
            <wp:effectExtent b="0" l="0" r="0" t="0"/>
            <wp:docPr descr="" title="" id="139" name="Picture"/>
            <a:graphic>
              <a:graphicData uri="http://schemas.openxmlformats.org/drawingml/2006/picture">
                <pic:pic>
                  <pic:nvPicPr>
                    <pic:cNvPr descr="/Users/jones/GitHubRepos/mpm-uncertainty/docs/manuscript/submission/sampling_uncertainty_mpm_combined_files/d8529a6b665ec0f3e10c96d308c29bc378c62062.png" id="140" name="Picture"/>
                    <pic:cNvPicPr>
                      <a:picLocks noChangeArrowheads="1" noChangeAspect="1"/>
                    </pic:cNvPicPr>
                  </pic:nvPicPr>
                  <pic:blipFill>
                    <a:blip r:embed="rId138"/>
                    <a:stretch>
                      <a:fillRect/>
                    </a:stretch>
                  </pic:blipFill>
                  <pic:spPr bwMode="auto">
                    <a:xfrm>
                      <a:off x="0" y="0"/>
                      <a:ext cx="5727700" cy="3665728"/>
                    </a:xfrm>
                    <a:prstGeom prst="rect">
                      <a:avLst/>
                    </a:prstGeom>
                    <a:noFill/>
                    <a:ln w="9525">
                      <a:noFill/>
                      <a:headEnd/>
                      <a:tailEnd/>
                    </a:ln>
                  </pic:spPr>
                </pic:pic>
              </a:graphicData>
            </a:graphic>
          </wp:inline>
        </w:drawing>
      </w:r>
    </w:p>
    <w:p>
      <w:r>
        <w:br w:type="page"/>
      </w:r>
    </w:p>
    <w:p>
      <w:pPr>
        <w:pStyle w:val="BodyText"/>
      </w:pPr>
      <w:r>
        <w:t xml:space="preserve">Figure S2. Illustration of survivorship trajectories under boundary survival transitions. Age/time is shown in years. These cases can induce artefactual trajectory shapes and help explain mismatches between point estimates and uncertainty-aware summaries.</w:t>
      </w:r>
    </w:p>
    <w:p>
      <w:pPr>
        <w:pStyle w:val="BodyText"/>
      </w:pPr>
      <w:r>
        <w:drawing>
          <wp:inline>
            <wp:extent cx="5727700" cy="5498592"/>
            <wp:effectExtent b="0" l="0" r="0" t="0"/>
            <wp:docPr descr="" title="" id="142" name="Picture"/>
            <a:graphic>
              <a:graphicData uri="http://schemas.openxmlformats.org/drawingml/2006/picture">
                <pic:pic>
                  <pic:nvPicPr>
                    <pic:cNvPr descr="/Users/jones/GitHubRepos/mpm-uncertainty/docs/manuscript/submission/sampling_uncertainty_mpm_combined_files/14ef09e30f575359848c2835f63766b001ca77ef.png" id="143" name="Picture"/>
                    <pic:cNvPicPr>
                      <a:picLocks noChangeArrowheads="1" noChangeAspect="1"/>
                    </pic:cNvPicPr>
                  </pic:nvPicPr>
                  <pic:blipFill>
                    <a:blip r:embed="rId141"/>
                    <a:stretch>
                      <a:fillRect/>
                    </a:stretch>
                  </pic:blipFill>
                  <pic:spPr bwMode="auto">
                    <a:xfrm>
                      <a:off x="0" y="0"/>
                      <a:ext cx="5727700" cy="5498592"/>
                    </a:xfrm>
                    <a:prstGeom prst="rect">
                      <a:avLst/>
                    </a:prstGeom>
                    <a:noFill/>
                    <a:ln w="9525">
                      <a:noFill/>
                      <a:headEnd/>
                      <a:tailEnd/>
                    </a:ln>
                  </pic:spPr>
                </pic:pic>
              </a:graphicData>
            </a:graphic>
          </wp:inline>
        </w:drawing>
      </w:r>
    </w:p>
    <w:p>
      <w:r>
        <w:br w:type="page"/>
      </w:r>
    </w:p>
    <w:p>
      <w:pPr>
        <w:pStyle w:val="BodyText"/>
      </w:pPr>
      <w:r>
        <w:t xml:space="preserve">Figure S3.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pPr>
        <w:pStyle w:val="BodyText"/>
      </w:pPr>
      <w:r>
        <w:drawing>
          <wp:inline>
            <wp:extent cx="5727700" cy="4455476"/>
            <wp:effectExtent b="0" l="0" r="0" t="0"/>
            <wp:docPr descr="" title="" id="145" name="Picture"/>
            <a:graphic>
              <a:graphicData uri="http://schemas.openxmlformats.org/drawingml/2006/picture">
                <pic:pic>
                  <pic:nvPicPr>
                    <pic:cNvPr descr="/Users/jones/GitHubRepos/mpm-uncertainty/docs/manuscript/submission/sampling_uncertainty_mpm_combined_files/7a07c06ddb7e22240bd267f312370e06b58b05ad.png" id="146" name="Picture"/>
                    <pic:cNvPicPr>
                      <a:picLocks noChangeArrowheads="1" noChangeAspect="1"/>
                    </pic:cNvPicPr>
                  </pic:nvPicPr>
                  <pic:blipFill>
                    <a:blip r:embed="rId144"/>
                    <a:stretch>
                      <a:fillRect/>
                    </a:stretch>
                  </pic:blipFill>
                  <pic:spPr bwMode="auto">
                    <a:xfrm>
                      <a:off x="0" y="0"/>
                      <a:ext cx="5727700" cy="4455476"/>
                    </a:xfrm>
                    <a:prstGeom prst="rect">
                      <a:avLst/>
                    </a:prstGeom>
                    <a:noFill/>
                    <a:ln w="9525">
                      <a:noFill/>
                      <a:headEnd/>
                      <a:tailEnd/>
                    </a:ln>
                  </pic:spPr>
                </pic:pic>
              </a:graphicData>
            </a:graphic>
          </wp:inline>
        </w:drawing>
      </w:r>
    </w:p>
    <w:p>
      <w:r>
        <w:br w:type="page"/>
      </w:r>
    </w:p>
    <w:p>
      <w:pPr>
        <w:pStyle w:val="BodyText"/>
      </w:pPr>
      <w:r>
        <w:t xml:space="preserve">Figure S4.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pPr>
        <w:pStyle w:val="BodyText"/>
      </w:pPr>
      <w:r>
        <w:drawing>
          <wp:inline>
            <wp:extent cx="5727700" cy="2862502"/>
            <wp:effectExtent b="0" l="0" r="0" t="0"/>
            <wp:docPr descr="" title="" id="148" name="Picture"/>
            <a:graphic>
              <a:graphicData uri="http://schemas.openxmlformats.org/drawingml/2006/picture">
                <pic:pic>
                  <pic:nvPicPr>
                    <pic:cNvPr descr="/Users/jones/GitHubRepos/mpm-uncertainty/docs/manuscript/submission/sampling_uncertainty_mpm_combined_files/f81ebd71ddc3db9e22297ad2a98c3b5420b48bc0.png" id="149" name="Picture"/>
                    <pic:cNvPicPr>
                      <a:picLocks noChangeArrowheads="1" noChangeAspect="1"/>
                    </pic:cNvPicPr>
                  </pic:nvPicPr>
                  <pic:blipFill>
                    <a:blip r:embed="rId147"/>
                    <a:stretch>
                      <a:fillRect/>
                    </a:stretch>
                  </pic:blipFill>
                  <pic:spPr bwMode="auto">
                    <a:xfrm>
                      <a:off x="0" y="0"/>
                      <a:ext cx="5727700" cy="2862502"/>
                    </a:xfrm>
                    <a:prstGeom prst="rect">
                      <a:avLst/>
                    </a:prstGeom>
                    <a:noFill/>
                    <a:ln w="9525">
                      <a:noFill/>
                      <a:headEnd/>
                      <a:tailEnd/>
                    </a:ln>
                  </pic:spPr>
                </pic:pic>
              </a:graphicData>
            </a:graphic>
          </wp:inline>
        </w:drawing>
      </w:r>
    </w:p>
    <w:p>
      <w:r>
        <w:br w:type="page"/>
      </w:r>
    </w:p>
    <w:p>
      <w:pPr>
        <w:pStyle w:val="BodyText"/>
      </w:pPr>
      <w:r>
        <w:t xml:space="preserve">Figure S5. Multisite robustness analysis for</w:t>
      </w:r>
      <w:r>
        <w:t xml:space="preserve"> </w:t>
      </w:r>
      <w:r>
        <w:rPr>
          <w:i/>
          <w:iCs/>
        </w:rPr>
        <w:t xml:space="preserve">Astragalus scaphoides</w:t>
      </w:r>
      <w:r>
        <w:t xml:space="preserve">. Columns show Haynes Creek (A, D, G), McDevitt Creek (B, E, H), and Sheep Corral Gulch (C, F, I). Rows show monthly-lag temperature coefficients (A-C), recruitment-temperature fits (D-F), and stage-specific survival-temperature coefficients (G-I) for point-estimate (purple) and uncertainty-aware (green) formulations. Recruitment is seedlings per reproductive plant, and stage-specific survival coefficients are on the logit scale (β). Survival intervals are 95% Wald confidence intervals; non-estimable stages are labelled rather than plotted. Differences between survival models reflect weighting and dispersion assumptions as well as the use of sample sizes. Recruitment results are closely aligned between formulations within sites.</w:t>
      </w:r>
    </w:p>
    <w:p>
      <w:pPr>
        <w:pStyle w:val="BodyText"/>
      </w:pPr>
      <w:r>
        <w:drawing>
          <wp:inline>
            <wp:extent cx="5727700" cy="4773682"/>
            <wp:effectExtent b="0" l="0" r="0" t="0"/>
            <wp:docPr descr="" title="" id="151" name="Picture"/>
            <a:graphic>
              <a:graphicData uri="http://schemas.openxmlformats.org/drawingml/2006/picture">
                <pic:pic>
                  <pic:nvPicPr>
                    <pic:cNvPr descr="/Users/jones/GitHubRepos/mpm-uncertainty/docs/manuscript/submission/sampling_uncertainty_mpm_combined_files/d9af7218402b24a996fed78bfa4485f23bf6a5a4.png" id="152" name="Picture"/>
                    <pic:cNvPicPr>
                      <a:picLocks noChangeArrowheads="1" noChangeAspect="1"/>
                    </pic:cNvPicPr>
                  </pic:nvPicPr>
                  <pic:blipFill>
                    <a:blip r:embed="rId150"/>
                    <a:stretch>
                      <a:fillRect/>
                    </a:stretch>
                  </pic:blipFill>
                  <pic:spPr bwMode="auto">
                    <a:xfrm>
                      <a:off x="0" y="0"/>
                      <a:ext cx="5727700" cy="4773682"/>
                    </a:xfrm>
                    <a:prstGeom prst="rect">
                      <a:avLst/>
                    </a:prstGeom>
                    <a:noFill/>
                    <a:ln w="9525">
                      <a:noFill/>
                      <a:headEnd/>
                      <a:tailEnd/>
                    </a:ln>
                  </pic:spPr>
                </pic:pic>
              </a:graphicData>
            </a:graphic>
          </wp:inline>
        </w:drawing>
      </w:r>
    </w:p>
    <w:p>
      <w:r>
        <w:br w:type="page"/>
      </w:r>
    </w:p>
    <w:bookmarkEnd w:id="153"/>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96" Target="media/rId96.png" /><Relationship Type="http://schemas.openxmlformats.org/officeDocument/2006/relationships/image" Id="rId141" Target="media/rId141.png" /><Relationship Type="http://schemas.openxmlformats.org/officeDocument/2006/relationships/image" Id="rId100" Target="media/rId100.png" /><Relationship Type="http://schemas.openxmlformats.org/officeDocument/2006/relationships/image" Id="rId144" Target="media/rId14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2" Target="media/rId92.png" /><Relationship Type="http://schemas.openxmlformats.org/officeDocument/2006/relationships/image" Id="rId112" Target="media/rId112.png" /><Relationship Type="http://schemas.openxmlformats.org/officeDocument/2006/relationships/image" Id="rId138" Target="media/rId138.png" /><Relationship Type="http://schemas.openxmlformats.org/officeDocument/2006/relationships/image" Id="rId150" Target="media/rId150.png" /><Relationship Type="http://schemas.openxmlformats.org/officeDocument/2006/relationships/image" Id="rId147" Target="media/rId147.png" /><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1"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80"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9" Target="https://doi.org/10.1111/1365-2745.12334" TargetMode="External" /><Relationship Type="http://schemas.openxmlformats.org/officeDocument/2006/relationships/hyperlink" Id="rId87" Target="https://doi.org/10.1111/2041-210X.12486" TargetMode="External" /><Relationship Type="http://schemas.openxmlformats.org/officeDocument/2006/relationships/hyperlink" Id="rId82" Target="https://doi.org/10.1111/2041-210X.13289" TargetMode="External" /><Relationship Type="http://schemas.openxmlformats.org/officeDocument/2006/relationships/hyperlink" Id="rId84"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8" Target="https://doi.org/10.1111/oik.10250" TargetMode="External" /><Relationship Type="http://schemas.openxmlformats.org/officeDocument/2006/relationships/hyperlink" Id="rId74" Target="https://doi.org/10.1201/9780429029608" TargetMode="External" /><Relationship Type="http://schemas.openxmlformats.org/officeDocument/2006/relationships/hyperlink" Id="rId88"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3"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6"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5"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1"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80"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9" Target="https://doi.org/10.1111/1365-2745.12334" TargetMode="External" /><Relationship Type="http://schemas.openxmlformats.org/officeDocument/2006/relationships/hyperlink" Id="rId87" Target="https://doi.org/10.1111/2041-210X.12486" TargetMode="External" /><Relationship Type="http://schemas.openxmlformats.org/officeDocument/2006/relationships/hyperlink" Id="rId82" Target="https://doi.org/10.1111/2041-210X.13289" TargetMode="External" /><Relationship Type="http://schemas.openxmlformats.org/officeDocument/2006/relationships/hyperlink" Id="rId84"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8" Target="https://doi.org/10.1111/oik.10250" TargetMode="External" /><Relationship Type="http://schemas.openxmlformats.org/officeDocument/2006/relationships/hyperlink" Id="rId74" Target="https://doi.org/10.1201/9780429029608" TargetMode="External" /><Relationship Type="http://schemas.openxmlformats.org/officeDocument/2006/relationships/hyperlink" Id="rId88"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3"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6"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5"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2026-09-23T12:56:28Z</dcterms:created>
  <dcterms:modified xsi:type="dcterms:W3CDTF">2026-09-23T12:56:28Z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