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S1-3. Point estimates and draws from the sampling distribution for derived parameters from a mean MPM.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4"/>
        <w:gridCol w:w="1132"/>
        <w:gridCol w:w="912"/>
        <w:gridCol w:w="1034"/>
        <w:gridCol w:w="1805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expectancy (l[0])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Pop. growth rate (lambda)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Damping ratio (rho)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2026-09-23T12:12:50Z</dcterms:modified>
  <cp:category/>
</cp:coreProperties>
</file>