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C7B6F5" w14:textId="77777777" w:rsidR="001430F9" w:rsidRDefault="00000000">
      <w:pPr>
        <w:pStyle w:val="Heading1"/>
      </w:pPr>
      <w:bookmarkStart w:id="0" w:name="abstract"/>
      <w:r>
        <w:t>Abstract</w:t>
      </w:r>
    </w:p>
    <w:p w14:paraId="64C280FC" w14:textId="77777777" w:rsidR="001430F9" w:rsidRDefault="00000000">
      <w:pPr>
        <w:numPr>
          <w:ilvl w:val="0"/>
          <w:numId w:val="3"/>
        </w:numPr>
      </w:pPr>
      <w:r>
        <w:t>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14:paraId="14DB354A" w14:textId="77777777" w:rsidR="001430F9" w:rsidRDefault="00000000">
      <w:pPr>
        <w:numPr>
          <w:ilvl w:val="0"/>
          <w:numId w:val="3"/>
        </w:numPr>
      </w:pPr>
      <w:r>
        <w:t>Using a subset of studies from the COMPADRE Plant Matrix Database for which transition-specific sample sizes could be obtained, we reconstructed sampling distributions for transition rates and derived demographic parameters, and conducted three related analyses: (i) a multi-species comparative analysis of life expectancy-shape relationships, (ii) a single-species time-series analysis of climate-demography effects, and (iii) a simulation study with known truth that compares how models account for count sampling and year-to-year variation.</w:t>
      </w:r>
    </w:p>
    <w:p w14:paraId="38982762" w14:textId="77777777" w:rsidR="001430F9" w:rsidRDefault="00000000">
      <w:pPr>
        <w:numPr>
          <w:ilvl w:val="0"/>
          <w:numId w:val="3"/>
        </w:numPr>
      </w:pPr>
      <w:r>
        <w:t>The effects of sampling uncertainty were strongly trait-dependent. Accounting for sampling uncertainty barely shifted integrated metrics such as population growth rate, but substantially displaced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 whereas the simulation study showed that point-estimate count models can become overconfident even when bias remains low.</w:t>
      </w:r>
    </w:p>
    <w:p w14:paraId="402BA9BA" w14:textId="77777777" w:rsidR="001430F9" w:rsidRDefault="00000000">
      <w:pPr>
        <w:numPr>
          <w:ilvl w:val="0"/>
          <w:numId w:val="3"/>
        </w:numPr>
      </w:pPr>
      <w:r>
        <w:lastRenderedPageBreak/>
        <w:t>Together, these analyses show that ignoring sampling uncertainty does not universally compromise inference from published projection matrices, but can yield fragile or biased conclusions for certain demographic traits; the simulation also shows that omitting year-to-year variation can produce overconfident interval estimates in count-based models. We identify structural features of MPMs and analyses that may indicate heightened sensitivity to sampling uncertainty, and discuss implications for researchers using compiled demographic databases.</w:t>
      </w:r>
    </w:p>
    <w:p w14:paraId="661B1737" w14:textId="77777777" w:rsidR="001430F9" w:rsidRDefault="00000000">
      <w:pPr>
        <w:pStyle w:val="FirstParagraph"/>
      </w:pPr>
      <w:r>
        <w:t>Keywords: age-from-stage methods; estimation bias; parameter uncertainty; stage-structured models; sensitivity analysis; plant demography; life history traits</w:t>
      </w:r>
    </w:p>
    <w:p w14:paraId="3856803C" w14:textId="77777777" w:rsidR="001430F9" w:rsidRDefault="00000000">
      <w:r>
        <w:br w:type="page"/>
      </w:r>
    </w:p>
    <w:p w14:paraId="69823CCF" w14:textId="77777777" w:rsidR="001430F9" w:rsidRDefault="00000000">
      <w:pPr>
        <w:pStyle w:val="Heading1"/>
      </w:pPr>
      <w:bookmarkStart w:id="1" w:name="introduction"/>
      <w:bookmarkEnd w:id="0"/>
      <w:r>
        <w:lastRenderedPageBreak/>
        <w:t>Introduction</w:t>
      </w:r>
    </w:p>
    <w:p w14:paraId="4463C82F" w14:textId="77777777" w:rsidR="001430F9" w:rsidRDefault="00000000">
      <w:pPr>
        <w:pStyle w:val="FirstParagraph"/>
      </w:pPr>
      <w:r>
        <w:t>Sampling uncertainty is a widely recognised, inherent component of demographic analyses (Caswell 2001). This uncertainty, stemming from the sampling of the population of interest, proliferates across almost all estimates of individual demographic rates (e.g. survival and reproduction), through studies based on raw data and single species, up to large comparative studies.</w:t>
      </w:r>
    </w:p>
    <w:p w14:paraId="43039DFF" w14:textId="77777777" w:rsidR="001430F9" w:rsidRDefault="00000000">
      <w:pPr>
        <w:pStyle w:val="BodyText"/>
      </w:pPr>
      <w:r>
        <w:t>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14:paraId="7CD12131" w14:textId="77777777" w:rsidR="001430F9" w:rsidRDefault="00000000">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w:t>
      </w:r>
      <w:r>
        <w:lastRenderedPageBreak/>
        <w:t>raising questions about the robustness of resulting inferences (Caswell 2001, Ch. 12; Biggs et al. 2009).</w:t>
      </w:r>
    </w:p>
    <w:p w14:paraId="7DF341AB" w14:textId="77777777" w:rsidR="001430F9" w:rsidRDefault="00000000">
      <w:pPr>
        <w:pStyle w:val="BodyText"/>
      </w:pPr>
      <w:r>
        <w:t>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population- or species-level quantities computed from matrix population models (MPMs). These span life-history traits such as generation time, transient descriptors such as reactivity, and integrated metrics such as population growth rate, through to traits governed by long-term survivorship or tail behaviour, such as life expectancy and the shape of mortality trajectories. Whether these different classes of traits are equally sensitive to sampling uncertainty under typical data regimes remains poorly understood.</w:t>
      </w:r>
    </w:p>
    <w:p w14:paraId="782B3A79" w14:textId="77777777" w:rsidR="001430F9" w:rsidRDefault="00000000">
      <w:pPr>
        <w:pStyle w:val="BodyText"/>
      </w:pPr>
      <w:r>
        <w:t>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14:paraId="2D6F2FD1" w14:textId="77777777" w:rsidR="001430F9" w:rsidRDefault="00000000">
      <w:pPr>
        <w:pStyle w:val="BodyText"/>
      </w:pPr>
      <w: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w:t>
      </w:r>
      <w:r>
        <w:lastRenderedPageBreak/>
        <w:t>regression are themselves noisy. In linear regression, independent, additive, mean-zero error in the response reduces precision but does not itself bias the slope towards zero. Its effects in models of demographic rates depend on the error structure and model formulation; whether explicitly accounting for sampling uncertainty materially changes climate-response inference is therefore an empirical question, which we address here.</w:t>
      </w:r>
    </w:p>
    <w:p w14:paraId="1D8A2225" w14:textId="77777777" w:rsidR="001430F9" w:rsidRDefault="00000000">
      <w:pPr>
        <w:pStyle w:val="BodyText"/>
      </w:pPr>
      <w:r>
        <w:t>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then using these parameter estimates, which themselves carry sampling uncertainty inherited from the underlying transition rates, or further derivations of them, as inputs to a statistical model that tests the relationship of interest. Uncertainty must therefore propagate along a chain, from the sampled transition rates, through the derived parameters, to the final inference.</w:t>
      </w:r>
    </w:p>
    <w:p w14:paraId="574CA847" w14:textId="77777777" w:rsidR="001430F9" w:rsidRDefault="00000000">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w:t>
      </w:r>
      <w:r>
        <w:lastRenderedPageBreak/>
        <w:t xml:space="preserve">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combine a comparative analysis of lifetime-integrating traits across populations and species (Analysis 1), a within-species analysis of climate effects on demographic rates (Analysis 2), and a simulation assessing estimation bias and interval coverage against known climate effects (Analysis 3). A multisite extension of Analysis 2 using </w:t>
      </w:r>
      <w:r>
        <w:rPr>
          <w:i/>
          <w:iCs/>
        </w:rPr>
        <w:t>Astragalus scaphoides</w:t>
      </w:r>
      <w:r>
        <w:t xml:space="preserve"> provides a supplementary robustness check. The focal quantities are mature life expectancy, the shape of the mortality trajectory, log population growth rate, and recruitment-climate regression coefficients. Because COMPADRE does not routinely include transition-level sample sizes, our empirical analyses are restricted to the subset for which these data could be assembled (695 MPMs from 31 studies; details in Methods). We use these analyses to identify diagnostic features that help researchers assess robustness in their own work. We also provide a practical diagnostic checklist for COMPADRE users.</w:t>
      </w:r>
    </w:p>
    <w:p w14:paraId="32E08688" w14:textId="77777777" w:rsidR="001430F9" w:rsidRDefault="00000000">
      <w:pPr>
        <w:pStyle w:val="Heading1"/>
      </w:pPr>
      <w:bookmarkStart w:id="2" w:name="methods"/>
      <w:bookmarkEnd w:id="1"/>
      <w:r>
        <w:t>Methods</w:t>
      </w:r>
    </w:p>
    <w:p w14:paraId="6A95E7F8" w14:textId="77777777" w:rsidR="001430F9" w:rsidRDefault="00000000">
      <w:pPr>
        <w:pStyle w:val="Heading2"/>
      </w:pPr>
      <w:bookmarkStart w:id="3" w:name="X383b93a8e92241e5b4789c954a16e82058bcb73"/>
      <w:r>
        <w:t>Background on the COMPADRE Plant Matrix Database</w:t>
      </w:r>
    </w:p>
    <w:p w14:paraId="13F109C3" w14:textId="77777777" w:rsidR="001430F9" w:rsidRDefault="00000000">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w:t>
      </w:r>
      <w:r>
        <w:lastRenderedPageBreak/>
        <w:t>one or more “mean MPM” calculated as an element-by-element arithmetic mean across multiple years and/or sites.</w:t>
      </w:r>
    </w:p>
    <w:p w14:paraId="21102A33" w14:textId="77777777" w:rsidR="001430F9" w:rsidRDefault="00000000">
      <w:pPr>
        <w:pStyle w:val="Heading2"/>
      </w:pPr>
      <w:bookmarkStart w:id="4" w:name="target-studies"/>
      <w:bookmarkEnd w:id="3"/>
      <w:r>
        <w:t>Target studies</w:t>
      </w:r>
    </w:p>
    <w:p w14:paraId="042FAE63" w14:textId="77777777" w:rsidR="001430F9" w:rsidRDefault="00000000">
      <w:pPr>
        <w:pStyle w:val="FirstParagraph"/>
      </w:pPr>
      <w:r>
        <w:t>We used COMPADRE to identify candidate studies for data collection, with the following criteria: published from 2010 onwards; common perennial growth forms (herbaceous, shrub, tree, palm, and succulent); wild populations not subjected to experimental treatments; and MPMs with three or more stage classes and a one-year projection interval. This yielded a dataset of 31 studies, representing 695 MPMs for 132 populations of 30 species, including a small number added under separate criteria (Supplementary Methods section S1.8). Studies were most often excluded because transition-specific sample sizes were insufficiently reported, with a few using estimation methods incompatible with our uncertainty-reconstruction approach (e.g. mark-recapture or multi-stage vital-rate products). We compared the included studies with the other studies that met the same criteria but lacked usable sample sizes, and found them broadly similar in matrix dimension, life form, and mean stage-specific survival, although our included studies had a higher proportion of boundary survival estimates, especially survival of exactly 1 (Table S11). This over-representation may favour detection of boundary-related sensitivity and limits generalisation to all MPM studies.</w:t>
      </w:r>
    </w:p>
    <w:p w14:paraId="3441C6DC" w14:textId="77777777" w:rsidR="001430F9" w:rsidRDefault="00000000">
      <w:pPr>
        <w:pStyle w:val="Heading2"/>
      </w:pPr>
      <w:bookmarkStart w:id="5" w:name="Xeff8857846f60e51662298fdb193b2113c059ad"/>
      <w:bookmarkEnd w:id="4"/>
      <w:r>
        <w:t>Typical construction of matrix population models</w:t>
      </w:r>
    </w:p>
    <w:p w14:paraId="5A76B6EB" w14:textId="77777777" w:rsidR="001430F9" w:rsidRDefault="00000000">
      <w:pPr>
        <w:pStyle w:val="FirstParagraph"/>
      </w:pPr>
      <w:r>
        <w:t xml:space="preserve">A matrix population model </w:t>
      </w:r>
      <m:oMath>
        <m:r>
          <w:rPr>
            <w:rFonts w:ascii="Cambria Math" w:hAnsi="Cambria Math"/>
          </w:rPr>
          <m:t>A</m:t>
        </m:r>
      </m:oMath>
      <w:r>
        <w:t xml:space="preserve"> is a square projection matrix whose elements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represent estimated transition rates from stage class </w:t>
      </w:r>
      <m:oMath>
        <m:r>
          <w:rPr>
            <w:rFonts w:ascii="Cambria Math" w:hAnsi="Cambria Math"/>
          </w:rPr>
          <m:t>j</m:t>
        </m:r>
      </m:oMath>
      <w:r>
        <w:t xml:space="preserve"> to stage class </w:t>
      </w:r>
      <m:oMath>
        <m:r>
          <w:rPr>
            <w:rFonts w:ascii="Cambria Math" w:hAnsi="Cambria Math"/>
          </w:rPr>
          <m:t>i</m:t>
        </m:r>
      </m:oMath>
      <w:r>
        <w:t xml:space="preserve"> over one projection interval (typically one year). Transitions may reflect the passage of individuals from one stage to another through survival, growth, or retrogression (the </w:t>
      </w:r>
      <m:oMath>
        <m:r>
          <w:rPr>
            <w:rFonts w:ascii="Cambria Math" w:hAnsi="Cambria Math"/>
          </w:rPr>
          <m:t>U</m:t>
        </m:r>
      </m:oMath>
      <w:r>
        <w:t xml:space="preserve"> component), or the production of new individuals via reproduction (the </w:t>
      </w:r>
      <m:oMath>
        <m:r>
          <w:rPr>
            <w:rFonts w:ascii="Cambria Math" w:hAnsi="Cambria Math"/>
          </w:rPr>
          <m:t>F</m:t>
        </m:r>
      </m:oMath>
      <w:r>
        <w:t xml:space="preserve"> component);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Sometimes the reproductive transitions are further split into sexual and clonal contributions.</w:t>
      </w:r>
    </w:p>
    <w:p w14:paraId="17543CC6" w14:textId="77777777" w:rsidR="001430F9" w:rsidRDefault="00000000">
      <w:pPr>
        <w:pStyle w:val="BodyText"/>
      </w:pPr>
      <w:r>
        <w:lastRenderedPageBreak/>
        <w:t>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14:paraId="15AC44E2"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transitioned from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r>
                <m:rPr>
                  <m:nor/>
                </m:rPr>
                <m:t xml:space="preserve"> to stage </m:t>
              </m:r>
              <m:r>
                <w:rPr>
                  <w:rFonts w:ascii="Cambria Math" w:hAnsi="Cambria Math"/>
                </w:rPr>
                <m:t>i</m:t>
              </m:r>
              <m:r>
                <m:rPr>
                  <m:nor/>
                </m:rPr>
                <m:t xml:space="preserve"> in year </m:t>
              </m:r>
              <m:r>
                <w:rPr>
                  <w:rFonts w:ascii="Cambria Math" w:hAnsi="Cambria Math"/>
                </w:rPr>
                <m:t>t</m:t>
              </m:r>
            </m:num>
            <m:den>
              <m:r>
                <m:rPr>
                  <m:nor/>
                </m:rPr>
                <m:t xml:space="preserve">number in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CDB5A7C" w14:textId="77777777" w:rsidR="001430F9" w:rsidRDefault="00000000">
      <w:pPr>
        <w:pStyle w:val="FirstParagraph"/>
      </w:pPr>
      <w:r>
        <w:t xml:space="preserve">Reproductive transitions are sometimes estimated directly from counts of new recruits at time </w:t>
      </w:r>
      <m:oMath>
        <m:r>
          <w:rPr>
            <w:rFonts w:ascii="Cambria Math" w:hAnsi="Cambria Math"/>
          </w:rPr>
          <m:t>t</m:t>
        </m:r>
      </m:oMath>
      <w:r>
        <w:t xml:space="preserve"> per reproductive individual at time </w:t>
      </w:r>
      <m:oMath>
        <m:r>
          <w:rPr>
            <w:rFonts w:ascii="Cambria Math" w:hAnsi="Cambria Math"/>
          </w:rPr>
          <m:t>t</m:t>
        </m:r>
        <m:r>
          <m:rPr>
            <m:sty m:val="p"/>
          </m:rPr>
          <w:rPr>
            <w:rFonts w:ascii="Cambria Math" w:hAnsi="Cambria Math"/>
          </w:rPr>
          <m:t>-</m:t>
        </m:r>
        <m:r>
          <w:rPr>
            <w:rFonts w:ascii="Cambria Math" w:hAnsi="Cambria Math"/>
          </w:rPr>
          <m:t>1</m:t>
        </m:r>
      </m:oMath>
      <w:r>
        <w:t>, as in Eq. (2),</w:t>
      </w:r>
    </w:p>
    <w:p w14:paraId="562B0C5B"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sr</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in recruit stage </m:t>
              </m:r>
              <m:r>
                <w:rPr>
                  <w:rFonts w:ascii="Cambria Math" w:hAnsi="Cambria Math"/>
                </w:rPr>
                <m:t>s</m:t>
              </m:r>
              <m:r>
                <m:rPr>
                  <m:nor/>
                </m:rPr>
                <m:t xml:space="preserve"> in year </m:t>
              </m:r>
              <m:r>
                <w:rPr>
                  <w:rFonts w:ascii="Cambria Math" w:hAnsi="Cambria Math"/>
                </w:rPr>
                <m:t>t</m:t>
              </m:r>
            </m:num>
            <m:den>
              <m:r>
                <m:rPr>
                  <m:nor/>
                </m:rPr>
                <m:t xml:space="preserve">number in reproductive stage </m:t>
              </m:r>
              <m:r>
                <w:rPr>
                  <w:rFonts w:ascii="Cambria Math" w:hAnsi="Cambria Math"/>
                </w:rPr>
                <m:t>r</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C85D992" w14:textId="77777777" w:rsidR="001430F9" w:rsidRDefault="00000000">
      <w:pPr>
        <w:pStyle w:val="FirstParagraph"/>
      </w:pPr>
      <w:r>
        <w:t xml:space="preserve">The demographic interpretation of </w:t>
      </w:r>
      <m:oMath>
        <m:r>
          <w:rPr>
            <w:rFonts w:ascii="Cambria Math" w:hAnsi="Cambria Math"/>
          </w:rPr>
          <m:t>F</m:t>
        </m:r>
      </m:oMath>
      <w:r>
        <w:t xml:space="preserve"> 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14:paraId="45F8A010" w14:textId="77777777" w:rsidR="001430F9" w:rsidRDefault="00000000">
      <w:pPr>
        <w:pStyle w:val="BodyText"/>
      </w:pPr>
      <w:r>
        <w:t>Alternatively, reproductive transitions may be decomposed into lower-level vital rates (e.g. flowers per plant, seeds per fruit, and germination probability) estimated from separate samples, or transition rates may be fitted with models that partially pool estimates across stage classes, sites, or years, as in hierarchical vital-rate models and integral projection models (IPMs). Uncertainty in such models can differ from the simple count-based setting considered here: partial pooling often reduces the variance of weakly informed estimates but can induce stronger correlations across transitions, so uncertainty should ideally be propagated from the joint posterior of the fitted model. Our reconstructions therefore approximate the uncertainty available to a secondary user of the published matrix and its sample-size information, rather than the full joint uncertainty from the original fitted model.</w:t>
      </w:r>
    </w:p>
    <w:p w14:paraId="6E216079" w14:textId="77777777" w:rsidR="001430F9" w:rsidRDefault="00000000">
      <w:pPr>
        <w:pStyle w:val="Heading2"/>
      </w:pPr>
      <w:bookmarkStart w:id="6" w:name="sampling-distribution-for-a-single-mpm"/>
      <w:bookmarkEnd w:id="5"/>
      <w:r>
        <w:lastRenderedPageBreak/>
        <w:t>Sampling distribution for a single MPM</w:t>
      </w:r>
    </w:p>
    <w:p w14:paraId="117EF9EC" w14:textId="77777777" w:rsidR="001430F9" w:rsidRDefault="00000000">
      <w:pPr>
        <w:pStyle w:val="FirstParagraph"/>
      </w:pPr>
      <w:r>
        <w:t xml:space="preserve">Techniques for estimating sampling uncertainty in transition rates and derived parameters are reviewed in Caswell (2001, Ch. 12). We reconstruct uncertainty using direct draws from conjugate posterior distributions: 2,000 draws per MPM for the illustrative example and 1,000 for Analysis 1. Hereafter, “sampling distributions” refers to these reconstructed posterior uncertainty distributions. Survival-related transitions are drawn jointly within each origin-stage column using a Dirichlet prior with all concentration parameters equal to 1, including death; reproductive rates use independent flat priors on the non-negative rate scale (Supplementary Methods section S1.1). For example, if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is a survival-related transition from stage </w:t>
      </w:r>
      <m:oMath>
        <m:r>
          <w:rPr>
            <w:rFonts w:ascii="Cambria Math" w:hAnsi="Cambria Math"/>
          </w:rPr>
          <m:t>j</m:t>
        </m:r>
      </m:oMath>
      <w:r>
        <w:t xml:space="preserve"> to </w:t>
      </w:r>
      <m:oMath>
        <m:r>
          <w:rPr>
            <w:rFonts w:ascii="Cambria Math" w:hAnsi="Cambria Math"/>
          </w:rPr>
          <m:t>i</m:t>
        </m:r>
      </m:oMath>
      <w:r>
        <w:t xml:space="preserve">, estimated from the observation that </w:t>
      </w:r>
      <m:oMath>
        <m:r>
          <w:rPr>
            <w:rFonts w:ascii="Cambria Math" w:hAnsi="Cambria Math"/>
          </w:rPr>
          <m:t>k</m:t>
        </m:r>
      </m:oMath>
      <w:r>
        <w:t xml:space="preserve"> out of the </w:t>
      </w:r>
      <m:oMath>
        <m:r>
          <w:rPr>
            <w:rFonts w:ascii="Cambria Math" w:hAnsi="Cambria Math"/>
          </w:rPr>
          <m:t>n</m:t>
        </m:r>
      </m:oMath>
      <w:r>
        <w:t xml:space="preserve"> individuals in stage </w:t>
      </w:r>
      <m:oMath>
        <m:r>
          <w:rPr>
            <w:rFonts w:ascii="Cambria Math" w:hAnsi="Cambria Math"/>
          </w:rPr>
          <m:t>j</m:t>
        </m:r>
      </m:oMath>
      <w:r>
        <w:t xml:space="preserve"> survived and transitioned to stage </w:t>
      </w:r>
      <m:oMath>
        <m:r>
          <w:rPr>
            <w:rFonts w:ascii="Cambria Math" w:hAnsi="Cambria Math"/>
          </w:rPr>
          <m:t>i</m:t>
        </m:r>
      </m:oMath>
      <w:r>
        <w:t xml:space="preserve"> (and the remaining </w:t>
      </w:r>
      <m:oMath>
        <m:r>
          <w:rPr>
            <w:rFonts w:ascii="Cambria Math" w:hAnsi="Cambria Math"/>
          </w:rPr>
          <m:t>n</m:t>
        </m:r>
        <m:r>
          <m:rPr>
            <m:sty m:val="p"/>
          </m:rPr>
          <w:rPr>
            <w:rFonts w:ascii="Cambria Math" w:hAnsi="Cambria Math"/>
          </w:rPr>
          <m:t>-</m:t>
        </m:r>
        <m:r>
          <w:rPr>
            <w:rFonts w:ascii="Cambria Math" w:hAnsi="Cambria Math"/>
          </w:rPr>
          <m:t>k</m:t>
        </m:r>
      </m:oMath>
      <w:r>
        <w:t xml:space="preserve"> died), we can model the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transition as a binomial sample with </w:t>
      </w:r>
      <m:oMath>
        <m:r>
          <w:rPr>
            <w:rFonts w:ascii="Cambria Math" w:hAnsi="Cambria Math"/>
          </w:rPr>
          <m:t>k</m:t>
        </m:r>
      </m:oMath>
      <w:r>
        <w:t xml:space="preserve"> successes in </w:t>
      </w:r>
      <m:oMath>
        <m:r>
          <w:rPr>
            <w:rFonts w:ascii="Cambria Math" w:hAnsi="Cambria Math"/>
          </w:rPr>
          <m:t>n</m:t>
        </m:r>
      </m:oMath>
      <w:r>
        <w:t xml:space="preserve"> trials. We could equivalently use a multinomial likelihood here (given observed counts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of each possible outcome </w:t>
      </w:r>
      <m:oMath>
        <m:r>
          <w:rPr>
            <w:rFonts w:ascii="Cambria Math" w:hAnsi="Cambria Math"/>
          </w:rPr>
          <m:t>m</m:t>
        </m:r>
      </m:oMath>
      <w:r>
        <w:t xml:space="preserve">), which flexibly scales to instances with more than two possible outcomes (e.g. an individual from stage </w:t>
      </w:r>
      <m:oMath>
        <m:r>
          <w:rPr>
            <w:rFonts w:ascii="Cambria Math" w:hAnsi="Cambria Math"/>
          </w:rPr>
          <m:t>j</m:t>
        </m:r>
      </m:oMath>
      <w:r>
        <w:t xml:space="preserve"> might die, survive and remain in stage </w:t>
      </w:r>
      <m:oMath>
        <m:r>
          <w:rPr>
            <w:rFonts w:ascii="Cambria Math" w:hAnsi="Cambria Math"/>
          </w:rPr>
          <m:t>j</m:t>
        </m:r>
      </m:oMath>
      <w:r>
        <w:t xml:space="preserve">, or survive and grow to stage </w:t>
      </w:r>
      <m:oMath>
        <m:r>
          <w:rPr>
            <w:rFonts w:ascii="Cambria Math" w:hAnsi="Cambria Math"/>
          </w:rPr>
          <m:t>j</m:t>
        </m:r>
        <m:r>
          <m:rPr>
            <m:sty m:val="p"/>
          </m:rPr>
          <w:rPr>
            <w:rFonts w:ascii="Cambria Math" w:hAnsi="Cambria Math"/>
          </w:rPr>
          <m:t>+</m:t>
        </m:r>
        <m:r>
          <w:rPr>
            <w:rFonts w:ascii="Cambria Math" w:hAnsi="Cambria Math"/>
          </w:rPr>
          <m:t>1</m:t>
        </m:r>
      </m:oMath>
      <w:r>
        <w:t xml:space="preserve">). For reproductive transitions, we use a Poisson likelihood to model the number of recruits </w:t>
      </w:r>
      <m:oMath>
        <m:r>
          <w:rPr>
            <w:rFonts w:ascii="Cambria Math" w:hAnsi="Cambria Math"/>
          </w:rPr>
          <m:t>k</m:t>
        </m:r>
      </m:oMath>
      <w:r>
        <w:t xml:space="preserve"> produced by a given number of reproductive individuals </w:t>
      </w:r>
      <m:oMath>
        <m:r>
          <w:rPr>
            <w:rFonts w:ascii="Cambria Math" w:hAnsi="Cambria Math"/>
          </w:rPr>
          <m:t>n</m:t>
        </m:r>
      </m:oMath>
      <w:r>
        <w:t>. Use of a Poisson distribution for fecundity might under-capture overdispersion in species with highly variable fecundity.</w:t>
      </w:r>
    </w:p>
    <w:p w14:paraId="4F467EDE" w14:textId="77777777" w:rsidR="001430F9" w:rsidRDefault="00000000">
      <w:pPr>
        <w:pStyle w:val="BodyText"/>
      </w:pPr>
      <w:r>
        <w:t xml:space="preserve">Because it draws from the posterior rather than resampling the reported estimate, this approach assigns uncertainty to allowed outcomes that were not observed, including death when all sampled individuals survived, so it does not force every draw to reproduce boundary point estimates. The resulting uncertainty depends on the priors and on the allowed-transition structure, which we defined per population; it may be understated for transitions that are biologically possible but never observed for a population, and columns with missing or zero </w:t>
      </w:r>
      <w:r>
        <w:lastRenderedPageBreak/>
        <w:t>recorded sample sizes contribute no reconstructed uncertainty (Supplementary Methods section S1.1).</w:t>
      </w:r>
    </w:p>
    <w:p w14:paraId="5E7DE3F6" w14:textId="77777777" w:rsidR="001430F9" w:rsidRDefault="00000000">
      <w:pPr>
        <w:pStyle w:val="Heading2"/>
      </w:pPr>
      <w:bookmarkStart w:id="7" w:name="analyses"/>
      <w:bookmarkEnd w:id="6"/>
      <w:r>
        <w:t>Analyses</w:t>
      </w:r>
    </w:p>
    <w:p w14:paraId="1E9F41FD" w14:textId="77777777" w:rsidR="001430F9" w:rsidRDefault="00000000">
      <w:pPr>
        <w:pStyle w:val="Heading3"/>
      </w:pPr>
      <w:bookmarkStart w:id="8" w:name="illustrative-example"/>
      <w:r>
        <w:t>Illustrative example</w:t>
      </w:r>
    </w:p>
    <w:p w14:paraId="5EB356C8" w14:textId="77777777" w:rsidR="001430F9" w:rsidRDefault="00000000">
      <w:pPr>
        <w:pStyle w:val="FirstParagraph"/>
      </w:pPr>
      <w:r>
        <w:t xml:space="preserve">We illustrate with an MPM for the perennial forb </w:t>
      </w:r>
      <w:r>
        <w:rPr>
          <w:i/>
          <w:iCs/>
        </w:rPr>
        <w:t>Agrimonia eupatoria</w:t>
      </w:r>
      <w:r>
        <w:t xml:space="preserve"> (Rosaceae) from a study carried out in southern Sweden (Kiviniemi 2002) (Population ‘B’; projection interval 1997-1998). The full matrix is</w:t>
      </w:r>
    </w:p>
    <w:p w14:paraId="211528A0" w14:textId="77777777" w:rsidR="001430F9" w:rsidRDefault="00000000">
      <w:pPr>
        <w:pStyle w:val="BodyText"/>
      </w:pPr>
      <m:oMathPara>
        <m:oMathParaPr>
          <m:jc m:val="center"/>
        </m:oMathParaP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oMath>
      </m:oMathPara>
    </w:p>
    <w:p w14:paraId="43C4402A" w14:textId="77777777" w:rsidR="001430F9" w:rsidRDefault="00000000">
      <w:pPr>
        <w:pStyle w:val="FirstParagraph"/>
      </w:pPr>
      <w:r>
        <w:t>Decomposed into survival/growth (</w:t>
      </w:r>
      <m:oMath>
        <m:r>
          <w:rPr>
            <w:rFonts w:ascii="Cambria Math" w:hAnsi="Cambria Math"/>
          </w:rPr>
          <m:t>U</m:t>
        </m:r>
      </m:oMath>
      <w:r>
        <w:t>) and reproduction (</w:t>
      </w:r>
      <m:oMath>
        <m:r>
          <w:rPr>
            <w:rFonts w:ascii="Cambria Math" w:hAnsi="Cambria Math"/>
          </w:rPr>
          <m:t>F</m:t>
        </m:r>
      </m:oMath>
      <w:r>
        <w:t>) components:</w:t>
      </w:r>
    </w:p>
    <w:p w14:paraId="5ADE7462" w14:textId="77777777" w:rsidR="001430F9" w:rsidRDefault="00000000">
      <w:pPr>
        <w:pStyle w:val="BodyText"/>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r>
            <w:rPr>
              <w:rFonts w:ascii="Cambria Math" w:hAnsi="Cambria Math"/>
            </w:rPr>
            <m:t> F</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2323A760" w14:textId="77777777" w:rsidR="001430F9" w:rsidRDefault="00000000">
      <w:pPr>
        <w:pStyle w:val="FirstParagraph"/>
      </w:pPr>
      <w:r>
        <w:t xml:space="preserve">In that study, ~80 plants were monitored each year in a population estimated at ~1000 individuals. Mirroring the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xml:space="preserve"> decomposition above, the observed transition frequencies can be written as:</w:t>
      </w:r>
    </w:p>
    <w:p w14:paraId="29D8C433"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12</m:t>
                    </m:r>
                    <m:r>
                      <m:rPr>
                        <m:sty m:val="p"/>
                      </m:rPr>
                      <w:rPr>
                        <w:rFonts w:ascii="Cambria Math" w:hAnsi="Cambria Math"/>
                      </w:rPr>
                      <m:t>/</m:t>
                    </m:r>
                    <m:r>
                      <w:rPr>
                        <w:rFonts w:ascii="Cambria Math" w:hAnsi="Cambria Math"/>
                      </w:rPr>
                      <m:t>14</m:t>
                    </m:r>
                  </m:e>
                  <m:e>
                    <m:r>
                      <w:rPr>
                        <w:rFonts w:ascii="Cambria Math" w:hAnsi="Cambria Math"/>
                      </w:rPr>
                      <m:t>14</m:t>
                    </m:r>
                    <m:r>
                      <m:rPr>
                        <m:sty m:val="p"/>
                      </m:rPr>
                      <w:rPr>
                        <w:rFonts w:ascii="Cambria Math" w:hAnsi="Cambria Math"/>
                      </w:rPr>
                      <m:t>/</m:t>
                    </m:r>
                    <m:r>
                      <w:rPr>
                        <w:rFonts w:ascii="Cambria Math" w:hAnsi="Cambria Math"/>
                      </w:rPr>
                      <m:t>18</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18</m:t>
                    </m:r>
                  </m:e>
                  <m:e>
                    <m:r>
                      <w:rPr>
                        <w:rFonts w:ascii="Cambria Math" w:hAnsi="Cambria Math"/>
                      </w:rPr>
                      <m:t>6</m:t>
                    </m:r>
                    <m:r>
                      <m:rPr>
                        <m:sty m:val="p"/>
                      </m:rPr>
                      <w:rPr>
                        <w:rFonts w:ascii="Cambria Math" w:hAnsi="Cambria Math"/>
                      </w:rPr>
                      <m:t>/</m:t>
                    </m:r>
                    <m:r>
                      <w:rPr>
                        <w:rFonts w:ascii="Cambria Math" w:hAnsi="Cambria Math"/>
                      </w:rPr>
                      <m:t>9</m:t>
                    </m:r>
                  </m:e>
                  <m:e>
                    <m:r>
                      <w:rPr>
                        <w:rFonts w:ascii="Cambria Math" w:hAnsi="Cambria Math"/>
                      </w:rPr>
                      <m:t>13</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2</m:t>
                    </m:r>
                    <m:r>
                      <m:rPr>
                        <m:sty m:val="p"/>
                      </m:rPr>
                      <w:rPr>
                        <w:rFonts w:ascii="Cambria Math" w:hAnsi="Cambria Math"/>
                      </w:rPr>
                      <m:t>/</m:t>
                    </m:r>
                    <m:r>
                      <w:rPr>
                        <w:rFonts w:ascii="Cambria Math" w:hAnsi="Cambria Math"/>
                      </w:rPr>
                      <m:t>9</m:t>
                    </m:r>
                  </m:e>
                  <m:e>
                    <m:r>
                      <w:rPr>
                        <w:rFonts w:ascii="Cambria Math" w:hAnsi="Cambria Math"/>
                      </w:rPr>
                      <m:t>33</m:t>
                    </m:r>
                    <m:r>
                      <m:rPr>
                        <m:sty m:val="p"/>
                      </m:rPr>
                      <w:rPr>
                        <w:rFonts w:ascii="Cambria Math" w:hAnsi="Cambria Math"/>
                      </w:rPr>
                      <m:t>/</m:t>
                    </m:r>
                    <m:r>
                      <w:rPr>
                        <w:rFonts w:ascii="Cambria Math" w:hAnsi="Cambria Math"/>
                      </w:rPr>
                      <m:t>47</m:t>
                    </m:r>
                  </m:e>
                </m:mr>
                <m:mr>
                  <m:e>
                    <m:r>
                      <w:rPr>
                        <w:rFonts w:ascii="Cambria Math" w:hAnsi="Cambria Math"/>
                      </w:rPr>
                      <m:t>2</m:t>
                    </m:r>
                    <m:r>
                      <m:rPr>
                        <m:sty m:val="p"/>
                      </m:rPr>
                      <w:rPr>
                        <w:rFonts w:ascii="Cambria Math" w:hAnsi="Cambria Math"/>
                      </w:rPr>
                      <m:t>/</m:t>
                    </m:r>
                    <m:r>
                      <w:rPr>
                        <w:rFonts w:ascii="Cambria Math" w:hAnsi="Cambria Math"/>
                      </w:rPr>
                      <m:t>14</m:t>
                    </m:r>
                  </m:e>
                  <m:e>
                    <m:r>
                      <w:rPr>
                        <w:rFonts w:ascii="Cambria Math" w:hAnsi="Cambria Math"/>
                      </w:rPr>
                      <m:t>3</m:t>
                    </m:r>
                    <m:r>
                      <m:rPr>
                        <m:sty m:val="p"/>
                      </m:rPr>
                      <w:rPr>
                        <w:rFonts w:ascii="Cambria Math" w:hAnsi="Cambria Math"/>
                      </w:rPr>
                      <m:t>/</m:t>
                    </m:r>
                    <m:r>
                      <w:rPr>
                        <w:rFonts w:ascii="Cambria Math" w:hAnsi="Cambria Math"/>
                      </w:rPr>
                      <m:t>18</m:t>
                    </m:r>
                  </m:e>
                  <m:e>
                    <m:r>
                      <w:rPr>
                        <w:rFonts w:ascii="Cambria Math" w:hAnsi="Cambria Math"/>
                      </w:rPr>
                      <m:t>1</m:t>
                    </m:r>
                    <m:r>
                      <m:rPr>
                        <m:sty m:val="p"/>
                      </m:rPr>
                      <w:rPr>
                        <w:rFonts w:ascii="Cambria Math" w:hAnsi="Cambria Math"/>
                      </w:rPr>
                      <m:t>/</m:t>
                    </m:r>
                    <m:r>
                      <w:rPr>
                        <w:rFonts w:ascii="Cambria Math" w:hAnsi="Cambria Math"/>
                      </w:rPr>
                      <m:t>9</m:t>
                    </m:r>
                  </m:e>
                  <m:e>
                    <m:r>
                      <w:rPr>
                        <w:rFonts w:ascii="Cambria Math" w:hAnsi="Cambria Math"/>
                      </w:rPr>
                      <m:t>1</m:t>
                    </m:r>
                    <m:r>
                      <m:rPr>
                        <m:sty m:val="p"/>
                      </m:rPr>
                      <w:rPr>
                        <w:rFonts w:ascii="Cambria Math" w:hAnsi="Cambria Math"/>
                      </w:rPr>
                      <m:t>/</m:t>
                    </m:r>
                    <m:r>
                      <w:rPr>
                        <w:rFonts w:ascii="Cambria Math" w:hAnsi="Cambria Math"/>
                      </w:rPr>
                      <m:t>47</m:t>
                    </m:r>
                  </m:e>
                </m:mr>
              </m:m>
            </m:e>
          </m:d>
          <m:r>
            <m:rPr>
              <m:sty m:val="p"/>
            </m:rPr>
            <w:rPr>
              <w:rFonts w:ascii="Cambria Math" w:hAnsi="Cambria Math"/>
            </w:rPr>
            <m:t>,</m:t>
          </m:r>
        </m:oMath>
      </m:oMathPara>
    </w:p>
    <w:p w14:paraId="7BEBA673" w14:textId="77777777" w:rsidR="001430F9"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9</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1A5D8663" w14:textId="77777777" w:rsidR="001430F9" w:rsidRDefault="00000000">
      <w:pPr>
        <w:pStyle w:val="FirstParagraph"/>
      </w:pPr>
      <w:r>
        <w:lastRenderedPageBreak/>
        <w:t xml:space="preserve">Here, columns index origin stage </w:t>
      </w:r>
      <m:oMath>
        <m:r>
          <w:rPr>
            <w:rFonts w:ascii="Cambria Math" w:hAnsi="Cambria Math"/>
          </w:rPr>
          <m:t>j</m:t>
        </m:r>
      </m:oMath>
      <w:r>
        <w:t xml:space="preserve">; rows 1-4 in </w:t>
      </w:r>
      <m:oMath>
        <m:sSub>
          <m:sSubPr>
            <m:ctrlPr>
              <w:rPr>
                <w:rFonts w:ascii="Cambria Math" w:hAnsi="Cambria Math"/>
              </w:rPr>
            </m:ctrlPr>
          </m:sSubPr>
          <m:e>
            <m:r>
              <w:rPr>
                <w:rFonts w:ascii="Cambria Math" w:hAnsi="Cambria Math"/>
              </w:rPr>
              <m:t>N</m:t>
            </m:r>
          </m:e>
          <m:sub>
            <m:r>
              <w:rPr>
                <w:rFonts w:ascii="Cambria Math" w:hAnsi="Cambria Math"/>
              </w:rPr>
              <m:t>U</m:t>
            </m:r>
          </m:sub>
        </m:sSub>
      </m:oMath>
      <w:r>
        <w:t xml:space="preserve"> index destination stages, and the extra row </w:t>
      </w:r>
      <m:oMath>
        <m:r>
          <w:rPr>
            <w:rFonts w:ascii="Cambria Math" w:hAnsi="Cambria Math"/>
          </w:rPr>
          <m:t>d</m:t>
        </m:r>
      </m:oMath>
      <w:r>
        <w:t xml:space="preserve"> is death. In the posterior sampling, death probability is drawn jointly with the living-transition probabilities in each </w:t>
      </w:r>
      <m:oMath>
        <m:r>
          <w:rPr>
            <w:rFonts w:ascii="Cambria Math" w:hAnsi="Cambria Math"/>
          </w:rPr>
          <m:t>U</m:t>
        </m:r>
      </m:oMath>
      <w:r>
        <w:t xml:space="preserve">-column, but only the living-stage components are written back into the simulated </w:t>
      </w:r>
      <m:oMath>
        <m:r>
          <w:rPr>
            <w:rFonts w:ascii="Cambria Math" w:hAnsi="Cambria Math"/>
          </w:rPr>
          <m:t>U</m:t>
        </m:r>
      </m:oMath>
      <w:r>
        <w:t xml:space="preserve"> matrix. The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matrix remains </w:t>
      </w:r>
      <m:oMath>
        <m:r>
          <w:rPr>
            <w:rFonts w:ascii="Cambria Math" w:hAnsi="Cambria Math"/>
          </w:rPr>
          <m:t>4</m:t>
        </m:r>
        <m:r>
          <m:rPr>
            <m:sty m:val="p"/>
          </m:rPr>
          <w:rPr>
            <w:rFonts w:ascii="Cambria Math" w:hAnsi="Cambria Math"/>
          </w:rPr>
          <m:t>×</m:t>
        </m:r>
        <m:r>
          <w:rPr>
            <w:rFonts w:ascii="Cambria Math" w:hAnsi="Cambria Math"/>
          </w:rPr>
          <m:t>4</m:t>
        </m:r>
      </m:oMath>
      <w:r>
        <w:t xml:space="preserve"> and contains only reproductive transitions. The count likelihoods used to reconstruct transition-rate uncertainty are:</w:t>
      </w:r>
    </w:p>
    <w:p w14:paraId="10F93A24" w14:textId="77777777" w:rsidR="001430F9" w:rsidRDefault="00000000">
      <w:pPr>
        <w:pStyle w:val="BodyText"/>
      </w:pPr>
      <m:oMathPara>
        <m:oMathParaPr>
          <m:jc m:val="center"/>
        </m:oMathParaP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r>
            <m:rPr>
              <m:sty m:val="p"/>
            </m:rPr>
            <w:rPr>
              <w:rFonts w:ascii="Cambria Math" w:hAnsi="Cambria Math"/>
            </w:rPr>
            <m:t>)∼</m:t>
          </m:r>
          <m:r>
            <m:rPr>
              <m:nor/>
            </m:rPr>
            <m:t>Multinomial</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m:rPr>
              <m:sty m:val="p"/>
            </m:rPr>
            <w:rPr>
              <w:rFonts w:ascii="Cambria Math" w:hAnsi="Cambria Math"/>
            </w:rPr>
            <m:t>),</m:t>
          </m:r>
        </m:oMath>
      </m:oMathPara>
    </w:p>
    <w:p w14:paraId="44383711" w14:textId="77777777" w:rsidR="001430F9" w:rsidRDefault="00000000">
      <w:pPr>
        <w:pStyle w:val="FirstParagraph"/>
      </w:pPr>
      <m:oMathPara>
        <m:oMathParaPr>
          <m:jc m:val="center"/>
        </m:oMathParaP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m:rPr>
              <m:nor/>
            </m:rPr>
            <m:t>Multinomial</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d2</m:t>
              </m:r>
            </m:sub>
          </m:sSub>
          <m:r>
            <m:rPr>
              <m:sty m:val="p"/>
            </m:rPr>
            <w:rPr>
              <w:rFonts w:ascii="Cambria Math" w:hAnsi="Cambria Math"/>
            </w:rPr>
            <m:t>),</m:t>
          </m:r>
        </m:oMath>
      </m:oMathPara>
    </w:p>
    <w:p w14:paraId="3BA565A9" w14:textId="77777777" w:rsidR="001430F9" w:rsidRDefault="00000000">
      <w:pPr>
        <w:pStyle w:val="FirstParagraph"/>
      </w:pPr>
      <m:oMathPara>
        <m:oMathParaPr>
          <m:jc m:val="center"/>
        </m:oMathParaP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m:rPr>
              <m:nor/>
            </m:rPr>
            <m:t>Multinomial</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d3</m:t>
              </m:r>
            </m:sub>
          </m:sSub>
          <m:r>
            <m:rPr>
              <m:sty m:val="p"/>
            </m:rPr>
            <w:rPr>
              <w:rFonts w:ascii="Cambria Math" w:hAnsi="Cambria Math"/>
            </w:rPr>
            <m:t>),</m:t>
          </m:r>
        </m:oMath>
      </m:oMathPara>
    </w:p>
    <w:p w14:paraId="5339E01B" w14:textId="77777777" w:rsidR="001430F9" w:rsidRDefault="00000000">
      <w:pPr>
        <w:pStyle w:val="FirstParagraph"/>
      </w:pPr>
      <m:oMathPara>
        <m:oMathParaPr>
          <m:jc m:val="center"/>
        </m:oMathParaPr>
        <m:oMath>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r>
            <m:rPr>
              <m:sty m:val="p"/>
            </m:rPr>
            <w:rPr>
              <w:rFonts w:ascii="Cambria Math" w:hAnsi="Cambria Math"/>
            </w:rPr>
            <m:t>)∼</m:t>
          </m:r>
          <m:r>
            <m:rPr>
              <m:nor/>
            </m:rPr>
            <m:t>Multinomial</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d4</m:t>
              </m:r>
            </m:sub>
          </m:sSub>
          <m:r>
            <m:rPr>
              <m:sty m:val="p"/>
            </m:rPr>
            <w:rPr>
              <w:rFonts w:ascii="Cambria Math" w:hAnsi="Cambria Math"/>
            </w:rPr>
            <m:t>),</m:t>
          </m:r>
        </m:oMath>
      </m:oMathPara>
    </w:p>
    <w:p w14:paraId="6E57523C" w14:textId="77777777" w:rsidR="001430F9" w:rsidRDefault="00000000">
      <w:pPr>
        <w:pStyle w:val="FirstParagraph"/>
      </w:pPr>
      <m:oMathPara>
        <m:oMathParaPr>
          <m:jc m:val="center"/>
        </m:oMathParaPr>
        <m:oMath>
          <m:r>
            <w:rPr>
              <w:rFonts w:ascii="Cambria Math" w:hAnsi="Cambria Math"/>
            </w:rPr>
            <m:t>9</m:t>
          </m:r>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w:rPr>
                  <w:rFonts w:ascii="Cambria Math" w:hAnsi="Cambria Math"/>
                </w:rPr>
                <m:t>47</m:t>
              </m:r>
              <m:sSub>
                <m:sSubPr>
                  <m:ctrlPr>
                    <w:rPr>
                      <w:rFonts w:ascii="Cambria Math" w:hAnsi="Cambria Math"/>
                    </w:rPr>
                  </m:ctrlPr>
                </m:sSubPr>
                <m:e>
                  <m:r>
                    <w:rPr>
                      <w:rFonts w:ascii="Cambria Math" w:hAnsi="Cambria Math"/>
                    </w:rPr>
                    <m:t>F</m:t>
                  </m:r>
                </m:e>
                <m:sub>
                  <m:r>
                    <w:rPr>
                      <w:rFonts w:ascii="Cambria Math" w:hAnsi="Cambria Math"/>
                    </w:rPr>
                    <m:t>14</m:t>
                  </m:r>
                </m:sub>
              </m:sSub>
            </m:e>
          </m:d>
          <m:r>
            <m:rPr>
              <m:sty m:val="p"/>
            </m:rPr>
            <w:rPr>
              <w:rFonts w:ascii="Cambria Math" w:hAnsi="Cambria Math"/>
            </w:rPr>
            <m:t>.</m:t>
          </m:r>
        </m:oMath>
      </m:oMathPara>
    </w:p>
    <w:p w14:paraId="26FAAD40" w14:textId="77777777" w:rsidR="001430F9" w:rsidRDefault="00000000">
      <w:pPr>
        <w:pStyle w:val="FirstParagraph"/>
      </w:pPr>
      <w:r>
        <w:t>To create a sampling distribution for the focal MPM, we take 2,000 independent draws from the posterior distributions obtained using these likelihoods and the priors described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14:paraId="79D547D7" w14:textId="77777777" w:rsidR="001430F9" w:rsidRDefault="00000000">
      <w:pPr>
        <w:pStyle w:val="BodyText"/>
      </w:pPr>
      <w:r>
        <w:t xml:space="preserve">The modest sample sizes underpinning this MPM (9-47 plants per stage class) result in relatively high sampling uncertainty in the transition rates (Fig. 1). For instance, the sample estimate for the vegetative-reproductive growth transition is 0.22 (2/9), but the upper bound of the 95% credible interval suggests this transition rate could plausibly be as high as 0.45 in the population at large. Correspondingly, there is substantial sampling uncertainty in some derived parameters (Fig. 2). Based on the 95% credible interval bounds, the equilibrium population growth rate could be as low as –17% per year or as high as +1% per year; life expectancy could be as low as </w:t>
      </w:r>
      <w:r>
        <w:lastRenderedPageBreak/>
        <w:t>3.5 years or as high as 18.2 years; and the reproductive value of the vegetative stage class could be 22% lower than that of the seedling stage or 1460% higher.</w:t>
      </w:r>
    </w:p>
    <w:p w14:paraId="0631E9E9" w14:textId="77777777" w:rsidR="001430F9" w:rsidRDefault="00000000">
      <w:pPr>
        <w:pStyle w:val="BodyText"/>
      </w:pPr>
      <w:r>
        <w:t>We chose three analyses to examine contrasting settings where sampling uncertainty may matter.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itself. Analysis 3 is a simulation study with a known truth, designed to test whether these models perform well when year-to-year process variation is present across a range of effect sizes and sample sizes. Together, the three analyses cover a broad range of typical uses of published MPMs and examine how modelled sources of uncertainty affect inference in different contexts.</w:t>
      </w:r>
    </w:p>
    <w:p w14:paraId="43E74B36" w14:textId="77777777" w:rsidR="001430F9" w:rsidRDefault="00000000">
      <w:pPr>
        <w:pStyle w:val="Heading3"/>
      </w:pPr>
      <w:bookmarkStart w:id="9" w:name="X349b7ec3116bc91db23218542ca4014d9cbeed5"/>
      <w:bookmarkEnd w:id="8"/>
      <w:r>
        <w:t>Analysis 1: Comparative analysis of mortality trajectories</w:t>
      </w:r>
    </w:p>
    <w:p w14:paraId="1B3D3FF8" w14:textId="77777777" w:rsidR="001430F9" w:rsidRDefault="00000000">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w:t>
      </w:r>
      <w:r>
        <w:lastRenderedPageBreak/>
        <w:t>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14:paraId="17CBCF68" w14:textId="77777777" w:rsidR="001430F9" w:rsidRDefault="00000000">
      <w:pPr>
        <w:pStyle w:val="BodyText"/>
      </w:pPr>
      <w:r>
        <w:t>To estimate mature life expectancy (</w:t>
      </w:r>
      <m:oMath>
        <m:r>
          <w:rPr>
            <w:rFonts w:ascii="Cambria Math" w:hAnsi="Cambria Math"/>
          </w:rPr>
          <m:t>L</m:t>
        </m:r>
      </m:oMath>
      <w:r>
        <w:t>) and shape (</w:t>
      </w:r>
      <m:oMath>
        <m:r>
          <w:rPr>
            <w:rFonts w:ascii="Cambria Math" w:hAnsi="Cambria Math"/>
          </w:rPr>
          <m:t>S</m:t>
        </m:r>
      </m:oMath>
      <w:r>
        <w:t>),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14:paraId="00E0991C" w14:textId="77777777" w:rsidR="001430F9"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x</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435E6FDC" w14:textId="77777777" w:rsidR="001430F9"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is the proportion of a cohort surviving from reproductive maturity to age </w:t>
      </w:r>
      <m:oMath>
        <m:r>
          <w:rPr>
            <w:rFonts w:ascii="Cambria Math" w:hAnsi="Cambria Math"/>
          </w:rPr>
          <m:t>x</m:t>
        </m:r>
      </m:oMath>
      <w:r>
        <w:t>.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Thus, more positive values indicate that mortality is concentrated later in adult life, whereas more negative values indicate that mortality is concentrated earlier in adult life. When deriving a survivorship trajectory from an MPM, the apparent mortality rate necessarily flattens as the stage distribution approaches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sections S1.2 and S1.13).</w:t>
      </w:r>
    </w:p>
    <w:p w14:paraId="18F6169A" w14:textId="77777777" w:rsidR="001430F9" w:rsidRDefault="00000000">
      <w:pPr>
        <w:pStyle w:val="BodyText"/>
      </w:pPr>
      <w:r>
        <w:lastRenderedPageBreak/>
        <w:t xml:space="preserve">We calculated life expectancy and shape at the population level, using one population-level MPM per population. For populations with temporal replication, we used a pooled population MPM if available (i.e. a matrix constructed by pooling individual-level demographic information across periods and/or populations); otherwise, we used a population mean MPM if available (i.e. an element-by-element arithmetic mean across annual matrices); if neither was available, we constructed a population-level matrix by taking the element-wise mean of the available annual </w:t>
      </w:r>
      <w:r>
        <w:rPr>
          <w:rStyle w:val="VerbatimChar"/>
        </w:rPr>
        <w:t>Individual</w:t>
      </w:r>
      <w:r>
        <w:t xml:space="preserve"> matrices in COMPADRE.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14:paraId="33CDE26B" w14:textId="77777777" w:rsidR="001430F9" w:rsidRDefault="00000000">
      <w:pPr>
        <w:pStyle w:val="BodyText"/>
      </w:pPr>
      <w:r>
        <w:t>Our uncertainty calculations used the per-stage or per-transition sample sizes we could recover. The total estimated population size was not consistently reported across the included studies, so we did not use it. For 5 of the population matrices (one population each), we could not recover even the per-stage sample sizes, so we had no basis for estimating their uncertainty. Where these matrices were kept, the affected columns were held at their published values rather than given reconstructed sampling uncertainty.</w:t>
      </w:r>
    </w:p>
    <w:p w14:paraId="7C73FFDB" w14:textId="77777777" w:rsidR="001430F9" w:rsidRDefault="00000000">
      <w:pPr>
        <w:pStyle w:val="BodyText"/>
      </w:pPr>
      <w:r>
        <w:t>To model the relationship between point estimates of mature life expectancy and shape, we used a linear model with random intercepts at the species level (to account for non-independence among populations of the same species), as in Eq. (4),</w:t>
      </w:r>
    </w:p>
    <w:p w14:paraId="092B5E5C"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m:rPr>
              <m:nor/>
            </m:rPr>
            <m:t>Normal</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FCFB52E" w14:textId="77777777" w:rsidR="001430F9" w:rsidRDefault="00000000">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represent point estimates of life expectancy and shape, respectively, for population </w:t>
      </w:r>
      <m:oMath>
        <m:r>
          <w:rPr>
            <w:rFonts w:ascii="Cambria Math" w:hAnsi="Cambria Math"/>
          </w:rPr>
          <m:t>i</m:t>
        </m:r>
      </m:oMath>
      <w:r>
        <w:t xml:space="preserve"> and species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represent species-specific intercepts, </w:t>
      </w:r>
      <m:oMath>
        <m:r>
          <w:rPr>
            <w:rFonts w:ascii="Cambria Math" w:hAnsi="Cambria Math"/>
          </w:rPr>
          <m:t>β</m:t>
        </m:r>
      </m:oMath>
      <w:r>
        <w:t xml:space="preserve"> is the slope of the relationship between </w:t>
      </w:r>
      <m:oMath>
        <m:r>
          <w:rPr>
            <w:rFonts w:ascii="Cambria Math" w:hAnsi="Cambria Math"/>
          </w:rPr>
          <m:t>S</m:t>
        </m:r>
      </m:oMath>
      <w:r>
        <w:t xml:space="preserve"> and </w:t>
      </w:r>
      <m:oMath>
        <m:r>
          <w:rPr>
            <w:rFonts w:ascii="Cambria Math" w:hAnsi="Cambria Math"/>
          </w:rPr>
          <m:t>L</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residual variance. Species-level intercept variation is modelled as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nor/>
          </m:rPr>
          <m:t>Normal</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among-species intercept variance (i.e., variance of random intercepts; distinct from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To incorporate sampling uncertainty, we used a measurement error model (based on McElreath 2020, sec. 14.1.2) where latent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are linked to sampling-distribution means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oMath>
      <w:r>
        <w:t>) and variances (</w:t>
      </w:r>
      <m:oMath>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ij</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ij</m:t>
            </m:r>
          </m:sub>
          <m:sup>
            <m:r>
              <w:rPr>
                <w:rFonts w:ascii="Cambria Math" w:hAnsi="Cambria Math"/>
              </w:rPr>
              <m:t>2</m:t>
            </m:r>
          </m:sup>
        </m:sSubSup>
      </m:oMath>
      <w:r>
        <w:t>) derived as described in the sampling-distribution section above, as in Eqs. (5), (6), and (7).</w:t>
      </w:r>
    </w:p>
    <w:p w14:paraId="3E6683AC" w14:textId="77777777" w:rsidR="001430F9" w:rsidRDefault="00000000">
      <w:pPr>
        <w:pStyle w:val="BodyText"/>
      </w:pPr>
      <w:r>
        <w:t xml:space="preserve">The structural form of the model is unchanged when sampling uncertainty is incorporated; Eqs. (5)-(7) restate the outcome model and add explicit sub-models for the true latent values of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which are now treated as unknown quantities estimated from their reconstructed posterior distributions rather than as fixed point estimates:</w:t>
      </w:r>
    </w:p>
    <w:p w14:paraId="7DD62EC7" w14:textId="77777777" w:rsidR="001430F9" w:rsidRPr="004A4DE7" w:rsidRDefault="00000000">
      <w:pPr>
        <w:pStyle w:val="BodyText"/>
        <w:rPr>
          <w:lang w:val="da-DK"/>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r>
            <m:rPr>
              <m:nor/>
            </m:rPr>
            <w:rPr>
              <w:lang w:val="da-DK"/>
            </w:rPr>
            <m:t>Normal</m:t>
          </m:r>
          <m:r>
            <m:rPr>
              <m:sty m:val="p"/>
            </m:rPr>
            <w:rPr>
              <w:rFonts w:ascii="Cambria Math" w:hAnsi="Cambria Math"/>
              <w:lang w:val="da-DK"/>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lang w:val="da-DK"/>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lang w:val="da-DK"/>
            </w:rPr>
            <m:t>,</m:t>
          </m:r>
          <m:sSup>
            <m:sSupPr>
              <m:ctrlPr>
                <w:rPr>
                  <w:rFonts w:ascii="Cambria Math" w:hAnsi="Cambria Math"/>
                </w:rPr>
              </m:ctrlPr>
            </m:sSupPr>
            <m:e>
              <m:r>
                <w:rPr>
                  <w:rFonts w:ascii="Cambria Math" w:hAnsi="Cambria Math"/>
                </w:rPr>
                <m:t>σ</m:t>
              </m:r>
            </m:e>
            <m:sup>
              <m:r>
                <w:rPr>
                  <w:rFonts w:ascii="Cambria Math" w:hAnsi="Cambria Math"/>
                  <w:lang w:val="da-DK"/>
                </w:rPr>
                <m:t>2</m:t>
              </m:r>
            </m:sup>
          </m:sSup>
          <m:r>
            <m:rPr>
              <m:sty m:val="p"/>
            </m:rPr>
            <w:rPr>
              <w:rFonts w:ascii="Cambria Math" w:hAnsi="Cambria Math"/>
              <w:lang w:val="da-DK"/>
            </w:rPr>
            <m:t>),</m:t>
          </m:r>
          <m:r>
            <w:rPr>
              <w:rFonts w:ascii="Cambria Math" w:hAnsi="Cambria Math"/>
              <w:lang w:val="da-DK"/>
            </w:rPr>
            <m:t>  </m:t>
          </m:r>
          <m:r>
            <m:rPr>
              <m:sty m:val="p"/>
            </m:rPr>
            <w:rPr>
              <w:rFonts w:ascii="Cambria Math" w:hAnsi="Cambria Math"/>
              <w:lang w:val="da-DK"/>
            </w:rPr>
            <m:t>(</m:t>
          </m:r>
          <m:r>
            <w:rPr>
              <w:rFonts w:ascii="Cambria Math" w:hAnsi="Cambria Math"/>
              <w:lang w:val="da-DK"/>
            </w:rPr>
            <m:t>5</m:t>
          </m:r>
          <m:r>
            <m:rPr>
              <m:sty m:val="p"/>
            </m:rPr>
            <w:rPr>
              <w:rFonts w:ascii="Cambria Math" w:hAnsi="Cambria Math"/>
              <w:lang w:val="da-DK"/>
            </w:rPr>
            <m:t>)</m:t>
          </m:r>
        </m:oMath>
      </m:oMathPara>
    </w:p>
    <w:p w14:paraId="1CCD8B92" w14:textId="77777777" w:rsidR="001430F9" w:rsidRPr="004A4DE7"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lang w:val="da-DK"/>
            </w:rPr>
            <m:t>∼</m:t>
          </m:r>
          <m:r>
            <m:rPr>
              <m:nor/>
            </m:rPr>
            <w:rPr>
              <w:lang w:val="da-DK"/>
            </w:rPr>
            <m:t>Normal</m:t>
          </m:r>
          <m:r>
            <m:rPr>
              <m:sty m:val="p"/>
            </m:rPr>
            <w:rPr>
              <w:rFonts w:ascii="Cambria Math" w:hAnsi="Cambria Math"/>
              <w:lang w:val="da-DK"/>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r>
            <m:rPr>
              <m:sty m:val="p"/>
            </m:rPr>
            <w:rPr>
              <w:rFonts w:ascii="Cambria Math" w:hAnsi="Cambria Math"/>
              <w:lang w:val="da-DK"/>
            </w:rPr>
            <m:t>),</m:t>
          </m:r>
          <m:r>
            <w:rPr>
              <w:rFonts w:ascii="Cambria Math" w:hAnsi="Cambria Math"/>
              <w:lang w:val="da-DK"/>
            </w:rPr>
            <m:t>  </m:t>
          </m:r>
          <m:r>
            <m:rPr>
              <m:sty m:val="p"/>
            </m:rPr>
            <w:rPr>
              <w:rFonts w:ascii="Cambria Math" w:hAnsi="Cambria Math"/>
              <w:lang w:val="da-DK"/>
            </w:rPr>
            <m:t>(</m:t>
          </m:r>
          <m:r>
            <w:rPr>
              <w:rFonts w:ascii="Cambria Math" w:hAnsi="Cambria Math"/>
              <w:lang w:val="da-DK"/>
            </w:rPr>
            <m:t>6</m:t>
          </m:r>
          <m:r>
            <m:rPr>
              <m:sty m:val="p"/>
            </m:rPr>
            <w:rPr>
              <w:rFonts w:ascii="Cambria Math" w:hAnsi="Cambria Math"/>
              <w:lang w:val="da-DK"/>
            </w:rPr>
            <m:t>)</m:t>
          </m:r>
        </m:oMath>
      </m:oMathPara>
    </w:p>
    <w:p w14:paraId="14701C82" w14:textId="77777777" w:rsidR="001430F9" w:rsidRPr="004A4DE7"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lang w:val="da-DK"/>
            </w:rPr>
            <m:t>∼</m:t>
          </m:r>
          <m:r>
            <m:rPr>
              <m:nor/>
            </m:rPr>
            <w:rPr>
              <w:lang w:val="da-DK"/>
            </w:rPr>
            <m:t>Normal</m:t>
          </m:r>
          <m:r>
            <m:rPr>
              <m:sty m:val="p"/>
            </m:rPr>
            <w:rPr>
              <w:rFonts w:ascii="Cambria Math" w:hAnsi="Cambria Math"/>
              <w:lang w:val="da-DK"/>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r>
            <m:rPr>
              <m:sty m:val="p"/>
            </m:rPr>
            <w:rPr>
              <w:rFonts w:ascii="Cambria Math" w:hAnsi="Cambria Math"/>
              <w:lang w:val="da-DK"/>
            </w:rPr>
            <m:t>).</m:t>
          </m:r>
          <m:r>
            <w:rPr>
              <w:rFonts w:ascii="Cambria Math" w:hAnsi="Cambria Math"/>
              <w:lang w:val="da-DK"/>
            </w:rPr>
            <m:t>  </m:t>
          </m:r>
          <m:r>
            <m:rPr>
              <m:sty m:val="p"/>
            </m:rPr>
            <w:rPr>
              <w:rFonts w:ascii="Cambria Math" w:hAnsi="Cambria Math"/>
              <w:lang w:val="da-DK"/>
            </w:rPr>
            <m:t>(</m:t>
          </m:r>
          <m:r>
            <w:rPr>
              <w:rFonts w:ascii="Cambria Math" w:hAnsi="Cambria Math"/>
              <w:lang w:val="da-DK"/>
            </w:rPr>
            <m:t>7</m:t>
          </m:r>
          <m:r>
            <m:rPr>
              <m:sty m:val="p"/>
            </m:rPr>
            <w:rPr>
              <w:rFonts w:ascii="Cambria Math" w:hAnsi="Cambria Math"/>
              <w:lang w:val="da-DK"/>
            </w:rPr>
            <m:t>)</m:t>
          </m:r>
        </m:oMath>
      </m:oMathPara>
    </w:p>
    <w:p w14:paraId="2C02711B" w14:textId="77777777" w:rsidR="001430F9" w:rsidRDefault="00000000">
      <w:pPr>
        <w:pStyle w:val="FirstParagraph"/>
      </w:pPr>
      <w:r>
        <w:t>For these models, we used priors and settings as described in Supplementary Methods section S1.4.</w:t>
      </w:r>
    </w:p>
    <w:p w14:paraId="74B9F664" w14:textId="77777777" w:rsidR="001430F9" w:rsidRDefault="00000000">
      <w:pPr>
        <w:pStyle w:val="BodyText"/>
      </w:pPr>
      <w:r>
        <w:t xml:space="preserve">In supplementary analyses, for each derived parameter we compared how much its point estimates varied across population-level MPM entries with how much its posterior means varied. A ratio greater than 1 means the point estimates are more spread out than the posterior means. It does not tell us how much of that spread comes from sampling noise and how much from </w:t>
      </w:r>
      <w:r>
        <w:lastRenderedPageBreak/>
        <w:t>genuine biological differences among populations. We obtained 95% intervals by paired bootstrap resampling of entries (Supplementary Methods section S1.5; Table 1).</w:t>
      </w:r>
    </w:p>
    <w:p w14:paraId="1D2E5583" w14:textId="77777777" w:rsidR="001430F9" w:rsidRDefault="00000000">
      <w:pPr>
        <w:pStyle w:val="Heading3"/>
      </w:pPr>
      <w:bookmarkStart w:id="10" w:name="Xa6846656006b1b9058ef913d8de9a898b7446a1"/>
      <w:bookmarkEnd w:id="9"/>
      <w:r>
        <w:t>Analysis 2: The impact of weather on demographic traits</w:t>
      </w:r>
    </w:p>
    <w:p w14:paraId="15934DBF" w14:textId="77777777" w:rsidR="001430F9" w:rsidRDefault="00000000">
      <w:pPr>
        <w:pStyle w:val="FirstParagraph"/>
      </w:pPr>
      <w:r>
        <w:t xml:space="preserve">We focus on a 12-year MPM time-series for </w:t>
      </w:r>
      <w:r>
        <w:rPr>
          <w:i/>
          <w:iCs/>
        </w:rPr>
        <w:t>Silene spaldingii</w:t>
      </w:r>
      <w:r>
        <w:t xml:space="preserve"> (Lesica and Crone 2007), a perennial herb found in semi-arid grasslands of western North America. We selected this case because it provides a rare combination of multi-year temporal replication, recoverable transition-level sample sizes, and matched local climate covariates (PRISM data extracted at the geographic coordinates of the study population and matched in time to the demographic observations),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 the reproductive transition (hereafter ‘recruitment’, the number of seedlings in year </w:t>
      </w:r>
      <m:oMath>
        <m:r>
          <w:rPr>
            <w:rFonts w:ascii="Cambria Math" w:hAnsi="Cambria Math"/>
          </w:rPr>
          <m:t>t</m:t>
        </m:r>
      </m:oMath>
      <w:r>
        <w:t xml:space="preserve"> per reproductive plant in year </w:t>
      </w:r>
      <m:oMath>
        <m:r>
          <w:rPr>
            <w:rFonts w:ascii="Cambria Math" w:hAnsi="Cambria Math"/>
          </w:rPr>
          <m:t>t</m:t>
        </m:r>
        <m:r>
          <m:rPr>
            <m:sty m:val="p"/>
          </m:rPr>
          <w:rPr>
            <w:rFonts w:ascii="Cambria Math" w:hAnsi="Cambria Math"/>
          </w:rPr>
          <m:t>-</m:t>
        </m:r>
        <m:r>
          <w:rPr>
            <w:rFonts w:ascii="Cambria Math" w:hAnsi="Cambria Math"/>
          </w:rPr>
          <m:t>1</m:t>
        </m:r>
      </m:oMath>
      <w:r>
        <w:t>), and survival.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Any robustness in this analysis would therefore reflect properties of aggregate reproductive transitions under moderate sample sizes, and should not be taken to imply that within-species analyses are always insensitive to sampling uncertainty.</w:t>
      </w:r>
    </w:p>
    <w:p w14:paraId="4F1A52FB" w14:textId="77777777" w:rsidR="001430F9" w:rsidRDefault="00000000">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w:t>
      </w:r>
      <w:r>
        <w:lastRenderedPageBreak/>
        <w:t xml:space="preserve">recruitment using a similar approach to Teller et al. (2016), in which we model separate slope coefficients for a series of </w:t>
      </w:r>
      <m:oMath>
        <m:r>
          <w:rPr>
            <w:rFonts w:ascii="Cambria Math" w:hAnsi="Cambria Math"/>
          </w:rPr>
          <m:t>K</m:t>
        </m:r>
      </m:oMath>
      <w:r>
        <w:t xml:space="preserve"> monthly lags (going back in time from the end of each transition interval), smoothing coefficients across neighbouring lags. The smoothing model is a Gaussian process with an exponential covariance function, as in Eq. (8),</w:t>
      </w:r>
    </w:p>
    <w:p w14:paraId="3FEE42AC" w14:textId="77777777" w:rsidR="001430F9"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nor/>
            </m:rPr>
            <m:t>Normal</m:t>
          </m:r>
          <m: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2809202" w14:textId="77777777" w:rsidR="001430F9" w:rsidRDefault="00000000">
      <w:pPr>
        <w:pStyle w:val="FirstParagraph"/>
      </w:pPr>
      <w:r>
        <w:t>with the monthly-coefficient prior and covariance structure given in Eqs. (9) and (10),</w:t>
      </w:r>
    </w:p>
    <w:p w14:paraId="096E222F" w14:textId="77777777" w:rsidR="001430F9" w:rsidRDefault="00000000">
      <w:pPr>
        <w:pStyle w:val="BodyText"/>
      </w:pPr>
      <m:oMathPara>
        <m:oMathParaPr>
          <m:jc m:val="center"/>
        </m:oMathParaPr>
        <m:oMath>
          <m:r>
            <w:rPr>
              <w:rFonts w:ascii="Cambria Math" w:hAnsi="Cambria Math"/>
            </w:rPr>
            <m:t>b</m:t>
          </m:r>
          <m:r>
            <m:rPr>
              <m:sty m:val="p"/>
            </m:rPr>
            <w:rPr>
              <w:rFonts w:ascii="Cambria Math" w:hAnsi="Cambria Math"/>
            </w:rPr>
            <m:t>∼</m:t>
          </m:r>
          <m:r>
            <m:rPr>
              <m:nor/>
            </m:rPr>
            <m:t>MVN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6122152D" w14:textId="77777777" w:rsidR="001430F9" w:rsidRDefault="00000000">
      <w:pPr>
        <w:pStyle w:val="FirstParagraph"/>
      </w:pPr>
      <w:r>
        <w:t>and</w:t>
      </w:r>
    </w:p>
    <w:p w14:paraId="739350B6"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758C4F80" w14:textId="77777777" w:rsidR="001430F9" w:rsidRDefault="00000000">
      <w:pPr>
        <w:pStyle w:val="FirstParagraph"/>
      </w:pPr>
      <w:r>
        <w:t xml:space="preserve">respectively, 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annual recruitment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tk</m:t>
            </m:r>
          </m:sub>
        </m:sSub>
      </m:oMath>
      <w:r>
        <w:t xml:space="preserve"> is the temperature deviation for year </w:t>
      </w:r>
      <m:oMath>
        <m:r>
          <w:rPr>
            <w:rFonts w:ascii="Cambria Math" w:hAnsi="Cambria Math"/>
          </w:rPr>
          <m:t>t</m:t>
        </m:r>
      </m:oMath>
      <w:r>
        <w:t xml:space="preserve"> at monthly lag </w:t>
      </w:r>
      <m:oMath>
        <m:r>
          <w:rPr>
            <w:rFonts w:ascii="Cambria Math" w:hAnsi="Cambria Math"/>
          </w:rPr>
          <m:t>k</m:t>
        </m:r>
      </m:oMath>
      <w:r>
        <w:t>. Model parameters include the intercept (</w:t>
      </w:r>
      <m:oMath>
        <m:r>
          <w:rPr>
            <w:rFonts w:ascii="Cambria Math" w:hAnsi="Cambria Math"/>
          </w:rPr>
          <m:t>α</m:t>
        </m:r>
      </m:oMath>
      <w:r>
        <w:t>),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vector of monthly temperature coefficients (</w:t>
      </w:r>
      <m:oMath>
        <m:r>
          <w:rPr>
            <w:rFonts w:ascii="Cambria Math" w:hAnsi="Cambria Math"/>
          </w:rPr>
          <m:t>b</m:t>
        </m:r>
      </m:oMath>
      <w:r>
        <w:t xml:space="preserve">), mean of the distribution of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covariance matrix (</w:t>
      </w:r>
      <m:oMath>
        <m:r>
          <m:rPr>
            <m:sty m:val="bi"/>
          </m:rPr>
          <w:rPr>
            <w:rFonts w:ascii="Cambria Math" w:hAnsi="Cambria Math"/>
          </w:rPr>
          <m:t>K</m:t>
        </m:r>
      </m:oMath>
      <w:r>
        <w:t xml:space="preserve">), maximum covariance for the </w:t>
      </w:r>
      <m:oMath>
        <m:r>
          <w:rPr>
            <w:rFonts w:ascii="Cambria Math" w:hAnsi="Cambria Math"/>
          </w:rPr>
          <m:t>b</m:t>
        </m:r>
      </m:oMath>
      <w:r>
        <w:t xml:space="preserve"> distribution (</w:t>
      </w:r>
      <m:oMath>
        <m:sSup>
          <m:sSupPr>
            <m:ctrlPr>
              <w:rPr>
                <w:rFonts w:ascii="Cambria Math" w:hAnsi="Cambria Math"/>
              </w:rPr>
            </m:ctrlPr>
          </m:sSupPr>
          <m:e>
            <m:r>
              <w:rPr>
                <w:rFonts w:ascii="Cambria Math" w:hAnsi="Cambria Math"/>
              </w:rPr>
              <m:t>η</m:t>
            </m:r>
          </m:e>
          <m:sup>
            <m:r>
              <w:rPr>
                <w:rFonts w:ascii="Cambria Math" w:hAnsi="Cambria Math"/>
              </w:rPr>
              <m:t>2</m:t>
            </m:r>
          </m:sup>
        </m:sSup>
      </m:oMath>
      <w:r>
        <w:t>), and the rate of decay in covariance with time (</w:t>
      </w:r>
      <m:oMath>
        <m:sSup>
          <m:sSupPr>
            <m:ctrlPr>
              <w:rPr>
                <w:rFonts w:ascii="Cambria Math" w:hAnsi="Cambria Math"/>
              </w:rPr>
            </m:ctrlPr>
          </m:sSupPr>
          <m:e>
            <m:r>
              <w:rPr>
                <w:rFonts w:ascii="Cambria Math" w:hAnsi="Cambria Math"/>
              </w:rPr>
              <m:t>ρ</m:t>
            </m:r>
          </m:e>
          <m:sup>
            <m:r>
              <w:rPr>
                <w:rFonts w:ascii="Cambria Math" w:hAnsi="Cambria Math"/>
              </w:rPr>
              <m:t>2</m:t>
            </m:r>
          </m:sup>
        </m:sSup>
      </m:oMath>
      <w:r>
        <w:t>).</w:t>
      </w:r>
    </w:p>
    <w:p w14:paraId="22D2C53B" w14:textId="77777777" w:rsidR="001430F9" w:rsidRDefault="00000000">
      <w:pPr>
        <w:pStyle w:val="BodyText"/>
      </w:pPr>
      <w:r>
        <w:t xml:space="preserve">In the model above,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represents a point estimate of annual recruitment derived from the relevant MPM. Recall that these values were initially calculated as the number of seedlings in year </w:t>
      </w:r>
      <m:oMath>
        <m:r>
          <w:rPr>
            <w:rFonts w:ascii="Cambria Math" w:hAnsi="Cambria Math"/>
          </w:rPr>
          <m:t>t</m:t>
        </m:r>
      </m:oMath>
      <w:r>
        <w:t xml:space="preserve"> divided by the number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xml:space="preserve">. To propagate sampling uncertainty, we model the raw seedling counts directly with a Poisson likelihood (Eq. (11)) and include </w:t>
      </w:r>
      <m:oMath>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t>
      </w:r>
      <w:r>
        <w:lastRenderedPageBreak/>
        <w:t>with a log-offset. Observed differences between formulations therefore reflect both structural change and uncertainty propagation, though in practice the two are virtually identical. Accordingly, we model seedling counts as</w:t>
      </w:r>
    </w:p>
    <w:p w14:paraId="0AE53949"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e>
              </m:d>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16D358A0" w14:textId="77777777" w:rsidR="001430F9" w:rsidRDefault="00000000">
      <w:pPr>
        <w:pStyle w:val="FirstParagraph"/>
      </w:pPr>
      <w:r>
        <w:t>and year-specific intercepts as</w:t>
      </w:r>
    </w:p>
    <w:p w14:paraId="44FBA0F5"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m:rPr>
              <m:nor/>
            </m:rPr>
            <m:t>Normal</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045A9EA4" w14:textId="77777777" w:rsidR="001430F9" w:rsidRDefault="00000000">
      <w:pPr>
        <w:pStyle w:val="FirstParagraph"/>
      </w:pPr>
      <w:r>
        <w:t xml:space="preserve">This implies that uncertainty in per-capita recruitment declines with sample size: if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then </w:t>
      </w:r>
      <m:oMath>
        <m:r>
          <m:rPr>
            <m:sty m:val="p"/>
          </m:rPr>
          <w:rPr>
            <w:rFonts w:ascii="Cambria Math" w:hAnsi="Cambria Math"/>
          </w:rPr>
          <m:t>Var(</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oMath>
      <w:r>
        <w:t xml:space="preserve"> scales as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fixed underlying recruitment intensity.</w:t>
      </w:r>
    </w:p>
    <w:p w14:paraId="23849F92" w14:textId="77777777" w:rsidR="001430F9" w:rsidRDefault="00000000">
      <w:pPr>
        <w:pStyle w:val="BodyText"/>
      </w:pPr>
      <w:r>
        <w:t xml:space="preserve">We used the same coefficient prior and covariance structure as for the point-estimate model (Eqs. (9) and (10)), where the response variable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number of seedlings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sample size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The model is otherwise similar to the point estimates model, except that we use year-specific intercepts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to incorporate the Poisson offset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rather than a single model intercept as before. We fit the above-described models again, with priors and settings as described in Supplementary Methods section S1.4.</w:t>
      </w:r>
    </w:p>
    <w:p w14:paraId="31EA5B0A" w14:textId="77777777" w:rsidR="001430F9" w:rsidRDefault="00000000">
      <w:pPr>
        <w:pStyle w:val="BodyText"/>
      </w:pPr>
      <w:r>
        <w:t xml:space="preserve">For the stage-specific survival comparison shown in the climate figures, we derived annual stage-specific survival probabilities as column sums of </w:t>
      </w:r>
      <m:oMath>
        <m:r>
          <w:rPr>
            <w:rFonts w:ascii="Cambria Math" w:hAnsi="Cambria Math"/>
          </w:rPr>
          <m:t>U</m:t>
        </m:r>
      </m:oMath>
      <w:r>
        <w:t xml:space="preserve"> (survive and transition to any living stage). We then estimated temperature effects for each stage under two formulations on the logit scale: an SSD-weighted quasibinomial GLM for point estimates (</w:t>
      </w:r>
      <m:oMath>
        <m:r>
          <m:rPr>
            <m:nor/>
          </m:rPr>
          <m:t>surv</m:t>
        </m:r>
        <m:r>
          <m:rPr>
            <m:sty m:val="p"/>
          </m:rPr>
          <w:rPr>
            <w:rFonts w:ascii="Cambria Math" w:hAnsi="Cambria Math"/>
          </w:rPr>
          <m:t>∼</m:t>
        </m:r>
        <m:r>
          <m:rPr>
            <m:nor/>
          </m:rPr>
          <m:t>tmp</m:t>
        </m:r>
      </m:oMath>
      <w:r>
        <w:t xml:space="preserve">, with weights from the stable stage distribution of each annual </w:t>
      </w:r>
      <m:oMath>
        <m:r>
          <w:rPr>
            <w:rFonts w:ascii="Cambria Math" w:hAnsi="Cambria Math"/>
          </w:rPr>
          <m:t>U</m:t>
        </m:r>
      </m:oMath>
      <w:r>
        <w:t xml:space="preserve"> matrix) and a binomial count model for uncertainty propagation (</w:t>
      </w:r>
      <m:oMath>
        <m:r>
          <m:rPr>
            <m:nor/>
          </m:rPr>
          <m:t>cbind</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r>
          <m:rPr>
            <m:sty m:val="p"/>
          </m:rPr>
          <w:rPr>
            <w:rFonts w:ascii="Cambria Math" w:hAnsi="Cambria Math"/>
          </w:rPr>
          <m:t>)∼</m:t>
        </m:r>
        <m:r>
          <m:rPr>
            <m:nor/>
          </m:rPr>
          <m:t>tmp</m:t>
        </m:r>
      </m:oMath>
      <w:r>
        <w:t xml:space="preserve">). The two formulations also differ in how they weight the data, handle dispersion, and use sample sizes, so comparing them does not single out the effect of sampling uncertainty. Full implementation details are provided in Supplementary Methods </w:t>
      </w:r>
      <w:r>
        <w:lastRenderedPageBreak/>
        <w:t xml:space="preserve">sections S1.6 and S1.10. We also applied this approach to a multi-site dataset of three </w:t>
      </w:r>
      <w:r>
        <w:rPr>
          <w:i/>
          <w:iCs/>
        </w:rPr>
        <w:t>Astragalus scaphoides</w:t>
      </w:r>
      <w:r>
        <w:t xml:space="preserve"> populations as a robustness check (Supplementary Methods section S1.10; Supplementary Results section S2.5).</w:t>
      </w:r>
    </w:p>
    <w:p w14:paraId="06B34E8D" w14:textId="77777777" w:rsidR="001430F9" w:rsidRDefault="00000000">
      <w:pPr>
        <w:pStyle w:val="Heading3"/>
      </w:pPr>
      <w:bookmarkStart w:id="11" w:name="Xbcefed090b6f5aec8f7c246135f8631e1a55520"/>
      <w:bookmarkEnd w:id="10"/>
      <w:r>
        <w:t>Analysis 3: Simulation study of climate effects on fecundity</w:t>
      </w:r>
    </w:p>
    <w:p w14:paraId="27D92861" w14:textId="77777777" w:rsidR="001430F9" w:rsidRDefault="00000000">
      <w:pPr>
        <w:pStyle w:val="FirstParagraph"/>
      </w:pPr>
      <w:r>
        <w:t xml:space="preserve">To evaluate the effect of sampling uncertainty where the true climate effect is known, we simulated annual recruitment time series from a realistic four-stage Lefkovitch MPM generated with </w:t>
      </w:r>
      <w:r>
        <w:rPr>
          <w:rStyle w:val="VerbatimChar"/>
        </w:rPr>
        <w:t>mpmsim::rand_lefko_mpm()</w:t>
      </w:r>
      <w:r>
        <w:t xml:space="preserve"> (archetype 2). We kept a baseline matrix with population growth rate close to equilibrium (</w:t>
      </w:r>
      <m:oMath>
        <m:r>
          <w:rPr>
            <w:rFonts w:ascii="Cambria Math" w:hAnsi="Cambria Math"/>
          </w:rPr>
          <m:t>λ</m:t>
        </m:r>
        <m:r>
          <m:rPr>
            <m:sty m:val="p"/>
          </m:rPr>
          <w:rPr>
            <w:rFonts w:ascii="Cambria Math" w:hAnsi="Cambria Math"/>
          </w:rPr>
          <m:t>≈</m:t>
        </m:r>
        <m:r>
          <w:rPr>
            <w:rFonts w:ascii="Cambria Math" w:hAnsi="Cambria Math"/>
          </w:rPr>
          <m:t>1</m:t>
        </m:r>
      </m:oMath>
      <w:r>
        <w:t xml:space="preserve">). We then imposed a climate effect on a single fecundity entry, </w:t>
      </w:r>
      <m:oMath>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4</m:t>
            </m:r>
          </m:sub>
        </m:sSub>
      </m:oMath>
      <w:r>
        <w:t xml:space="preserve">, over </w:t>
      </w:r>
      <m:oMath>
        <m:r>
          <w:rPr>
            <w:rFonts w:ascii="Cambria Math" w:hAnsi="Cambria Math"/>
          </w:rPr>
          <m:t>T</m:t>
        </m:r>
        <m:r>
          <m:rPr>
            <m:sty m:val="p"/>
          </m:rPr>
          <w:rPr>
            <w:rFonts w:ascii="Cambria Math" w:hAnsi="Cambria Math"/>
          </w:rPr>
          <m:t>=</m:t>
        </m:r>
        <m:r>
          <w:rPr>
            <w:rFonts w:ascii="Cambria Math" w:hAnsi="Cambria Math"/>
          </w:rPr>
          <m:t>15</m:t>
        </m:r>
      </m:oMath>
      <w:r>
        <w:t xml:space="preserve"> annual time steps. In each simulated year, the climate covariate was drawn as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m:rPr>
            <m:nor/>
          </m:rPr>
          <m:t>Normal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and true fecundity followed</w:t>
      </w:r>
    </w:p>
    <w:p w14:paraId="50EECAB5" w14:textId="77777777" w:rsidR="001430F9"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nor/>
                </m:rPr>
                <m:t>true</m:t>
              </m:r>
            </m:sub>
          </m:sSub>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73E367CE" w14:textId="77777777" w:rsidR="001430F9" w:rsidRDefault="00000000">
      <w:pPr>
        <w:pStyle w:val="FirstParagraph"/>
      </w:pPr>
      <w:r>
        <w:t xml:space="preserve">where </w:t>
      </w:r>
      <m:oMath>
        <m:sSub>
          <m:sSubPr>
            <m:ctrlPr>
              <w:rPr>
                <w:rFonts w:ascii="Cambria Math" w:hAnsi="Cambria Math"/>
              </w:rPr>
            </m:ctrlPr>
          </m:sSubPr>
          <m:e>
            <m:r>
              <w:rPr>
                <w:rFonts w:ascii="Cambria Math" w:hAnsi="Cambria Math"/>
              </w:rPr>
              <m:t>β</m:t>
            </m:r>
          </m:e>
          <m:sub>
            <m:r>
              <m:rPr>
                <m:nor/>
              </m:rPr>
              <m:t>true</m:t>
            </m:r>
          </m:sub>
        </m:sSub>
      </m:oMath>
      <w:r>
        <w:t xml:space="preserve"> was set to 0.1, 0.3, or 0.5, and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m:rPr>
            <m:nor/>
          </m:rPr>
          <m:t>Normal</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0.2</m:t>
            </m:r>
          </m:e>
          <m:sup>
            <m:r>
              <w:rPr>
                <w:rFonts w:ascii="Cambria Math" w:hAnsi="Cambria Math"/>
              </w:rPr>
              <m:t>2</m:t>
            </m:r>
          </m:sup>
        </m:sSup>
        <m:r>
          <m:rPr>
            <m:sty m:val="p"/>
          </m:rPr>
          <w:rPr>
            <w:rFonts w:ascii="Cambria Math" w:hAnsi="Cambria Math"/>
          </w:rPr>
          <m:t>)</m:t>
        </m:r>
      </m:oMath>
      <w:r>
        <w:t xml:space="preserve"> 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p>
    <w:p w14:paraId="761232CF" w14:textId="77777777" w:rsidR="001430F9" w:rsidRDefault="00000000">
      <w:pPr>
        <w:pStyle w:val="BodyText"/>
      </w:pPr>
      <w:r>
        <w:t xml:space="preserve">For each simulated dataset, we fitted three models to estimate the climate effect on recruitment: (i) a Gaussian regression with a log link on annual point estimates of fecundity, (ii) a Poisson count model using observed seedling counts and an offset for the number of reproductive individuals, and (iii) a Poisson uncertainty-aware model that additionally included a latent year-specific process term analogous to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All three models target the same log-scale climate effect; the Gaussian model uses untransformed rates as its response and assumes constant residual variance. Its 95% intervals are the usual coefficient estimate ± t × standard error. We then compared the models in terms of bias and 95% interval coverage (the proportion of replicate </w:t>
      </w:r>
      <w:r>
        <w:lastRenderedPageBreak/>
        <w:t xml:space="preserve">datasets in which the 95% interval contained the true effect </w:t>
      </w:r>
      <m:oMath>
        <m:sSub>
          <m:sSubPr>
            <m:ctrlPr>
              <w:rPr>
                <w:rFonts w:ascii="Cambria Math" w:hAnsi="Cambria Math"/>
              </w:rPr>
            </m:ctrlPr>
          </m:sSubPr>
          <m:e>
            <m:r>
              <w:rPr>
                <w:rFonts w:ascii="Cambria Math" w:hAnsi="Cambria Math"/>
              </w:rPr>
              <m:t>β</m:t>
            </m:r>
          </m:e>
          <m:sub>
            <m:r>
              <m:rPr>
                <m:nor/>
              </m:rPr>
              <m:t>true</m:t>
            </m:r>
          </m:sub>
        </m:sSub>
      </m:oMath>
      <w:r>
        <w:t>; a well-calibrated model achieves coverage close to the nominal 0.95). Both Poisson models allow for the sampling variation in counts; their comparison tests the effect of additionally modelling year-to-year process variation.</w:t>
      </w:r>
    </w:p>
    <w:p w14:paraId="33341B79" w14:textId="77777777" w:rsidR="001430F9" w:rsidRDefault="00000000">
      <w:pPr>
        <w:pStyle w:val="BodyText"/>
      </w:pPr>
      <w:r>
        <w:t>Priors and fitting settings for the simulation model are given in Supplementary Methods section S1.4.</w:t>
      </w:r>
    </w:p>
    <w:p w14:paraId="710EB690" w14:textId="77777777" w:rsidR="001430F9" w:rsidRDefault="00000000">
      <w:pPr>
        <w:pStyle w:val="BodyText"/>
      </w:pPr>
      <w:r>
        <w:t>All analyses were run in R (4.6.1) using RStan (2.32.7), with data handling and plotting in tidyverse packages.</w:t>
      </w:r>
    </w:p>
    <w:p w14:paraId="5C7EA8B3" w14:textId="77777777" w:rsidR="001430F9" w:rsidRDefault="00000000">
      <w:pPr>
        <w:pStyle w:val="Heading1"/>
      </w:pPr>
      <w:bookmarkStart w:id="12" w:name="results"/>
      <w:bookmarkEnd w:id="2"/>
      <w:bookmarkEnd w:id="7"/>
      <w:bookmarkEnd w:id="11"/>
      <w:r>
        <w:t>Results</w:t>
      </w:r>
    </w:p>
    <w:p w14:paraId="021AB492" w14:textId="77777777" w:rsidR="001430F9" w:rsidRDefault="00000000">
      <w:pPr>
        <w:pStyle w:val="Heading2"/>
      </w:pPr>
      <w:bookmarkStart w:id="13" w:name="Xdd6638ed7316a87858b3445bbb79e25a6ceb092"/>
      <w:r>
        <w:t>Analysis 1: Comparative analysis of mortality trajectories</w:t>
      </w:r>
    </w:p>
    <w:p w14:paraId="558DFAD6" w14:textId="77777777" w:rsidR="001430F9" w:rsidRDefault="00000000">
      <w:pPr>
        <w:pStyle w:val="FirstParagraph"/>
      </w:pPr>
      <w:r>
        <w:t>We first look, across all derived traits, at how much more spread out the point estimates are than their posterior means across every population-level entry (Table 1). We then ask whether that extra spread is large enough to change the conclusions of a particular comparative analysis.</w:t>
      </w:r>
    </w:p>
    <w:p w14:paraId="42DCCD9E" w14:textId="77777777" w:rsidR="001430F9" w:rsidRDefault="00000000">
      <w:pPr>
        <w:pStyle w:val="BodyText"/>
      </w:pPr>
      <w:r>
        <w:t xml:space="preserve">For life expectancy and shape, across-entry variance of point estimates was 1.93 and 3.31 times the variance of posterior means, respectively (Table 1). These ratios describe how much more spread out the point estimates are, not how much of that spread comes from sampling noise rather than genuine biological differences among populations. Point estimates of life expectancy and shape often deviated from their respective sampling distributions (Fig. 3).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w:t>
      </w:r>
      <w:r>
        <w:lastRenderedPageBreak/>
        <w:t>boundary estimates can skew a point estimate of life expectancy or shape away from the majority of its sampling distribution (see Supplementary Figure S1 and Supplementary Figure S2).</w:t>
      </w:r>
    </w:p>
    <w:p w14:paraId="2BC90A21" w14:textId="77777777" w:rsidR="001430F9" w:rsidRDefault="00000000">
      <w:pPr>
        <w:pStyle w:val="BodyText"/>
      </w:pPr>
      <w:r>
        <w:t>Despite the mismatch between point estimates and sampling distributions, accounting for sampling uncertainty in our test of the relationship between life expectancy and shape did not impact the overall conclusion (Fig. 4; Supplementary Table S3). While the posterior distribution of the slope parameter β from the point-estimate model was centred slightly to the left of zero (P[β &gt; 0] = 0.206), the corresponding posterior from the sampling-uncertainty model was shifted somewhat to the right (P[β &gt; 0] = 0.770). The posterior median of the slope therefore changed sign between the two models. This shift is not trivial, but because both posteriors span zero the overall conclusion, that there is no strong effect, is unchanged.</w:t>
      </w:r>
    </w:p>
    <w:p w14:paraId="5A9664C2" w14:textId="77777777" w:rsidR="001430F9" w:rsidRDefault="00000000">
      <w:pPr>
        <w:pStyle w:val="BodyText"/>
      </w:pPr>
      <w:r>
        <w:t>Counterintuitively, there was less posterior uncertainty in β in the sampling-uncertainty model than in the point-estimate model. The reason is largely that a regression slope is harder to estimate precisely when the predictor is very spread out, since many slopes then fit the data about equally well. Boundary-survival estimates push some shape point estimates to extreme values, artificially inflating that spread; replacing them with their sampling distributions, which cluster much closer to zero (Figure 4A), pulls the predictor back in and tightens the slope. Posterior width also depends on the model’s assumptions and treatment of uncertainty.</w:t>
      </w:r>
    </w:p>
    <w:p w14:paraId="56A45F56" w14:textId="77777777" w:rsidR="001430F9" w:rsidRDefault="00000000">
      <w:pPr>
        <w:pStyle w:val="Heading2"/>
      </w:pPr>
      <w:bookmarkStart w:id="14" w:name="Xa844334e68bdd149df766f2d8c8c13e59d9ac1f"/>
      <w:bookmarkEnd w:id="13"/>
      <w:r>
        <w:t>Analysis 2: The impact of weather on demographic traits</w:t>
      </w:r>
    </w:p>
    <w:p w14:paraId="7AEA3F8E" w14:textId="77777777" w:rsidR="001430F9" w:rsidRDefault="00000000">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 5).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w:t>
      </w:r>
      <w:r>
        <w:lastRenderedPageBreak/>
        <w:t xml:space="preserve">that the point-estimate model is similar to the model incorporating sampling uncertainty (Fig. 5). The estimate of the temperature coefficient </w:t>
      </w:r>
      <m:oMath>
        <m:r>
          <w:rPr>
            <w:rFonts w:ascii="Cambria Math" w:hAnsi="Cambria Math"/>
          </w:rPr>
          <m:t>β</m:t>
        </m:r>
      </m:oMath>
      <w:r>
        <w:t xml:space="preserve"> 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 5C), temperature coefficients were estimable for stages 2 and 3; stages 1 and 4 are labelled as not estimable because stage 1 has only four usable years and stage 4 has 100% survival in all usable years. The narrower intervals in the count model should be interpreted in light of the different likelihood and weighting assumptions, rather than attributed to uncertainty propagation alone. A supplementary multisite robustness analysis based on three </w:t>
      </w:r>
      <w:r>
        <w:rPr>
          <w:i/>
          <w:iCs/>
        </w:rPr>
        <w:t>Astragalus scaphoides</w:t>
      </w:r>
      <w:r>
        <w:t xml:space="preserve"> populations reached the same qualitative conclusion: climate-effect inference was similar with and without explicit uncertainty propagation in that empirical setting (Supplementary Results section S2.5; Figure S5; Tables S7-S10).</w:t>
      </w:r>
    </w:p>
    <w:p w14:paraId="07951836" w14:textId="77777777" w:rsidR="001430F9" w:rsidRDefault="00000000">
      <w:pPr>
        <w:pStyle w:val="Heading2"/>
      </w:pPr>
      <w:bookmarkStart w:id="15" w:name="X833b9bf9308421cbeeaa896dbc36efa1f10b09d"/>
      <w:bookmarkEnd w:id="14"/>
      <w:r>
        <w:t>Analysis 3: Simulation study of climate effects on fecundity</w:t>
      </w:r>
    </w:p>
    <w:p w14:paraId="7DCE7933" w14:textId="77777777" w:rsidR="001430F9" w:rsidRDefault="00000000">
      <w:pPr>
        <w:pStyle w:val="FirstParagraph"/>
      </w:pPr>
      <w:r>
        <w:t>The simulation study showed that accounting for year-to-year process variation improved the intervals’ coverage without much increasing the average error (Fig. 6). Across all effect sizes and sample sizes, the uncertainty-aware Poisson model achieved coverage close to the nominal 95% (0.951), whereas the simpler Poisson point-estimate model’s intervals fell well short (0.757). The two Poisson models were about equally accurate on average (RMSE 0.086 versus 0.087). Modelling this process variation therefore mainly improved how often the intervals contained the true effect, rather than the accuracy of the estimate itself.</w:t>
      </w:r>
    </w:p>
    <w:p w14:paraId="750C9275" w14:textId="77777777" w:rsidR="001430F9" w:rsidRDefault="00000000">
      <w:pPr>
        <w:pStyle w:val="BodyText"/>
      </w:pPr>
      <w:r>
        <w:t xml:space="preserve">The Poisson point-estimate model’s intervals missed the true effect more and more often as sample size increased. Averaged across true effect sizes, its intervals contained the true effect in 0.897 of cases at sample size 10, falling to 0.593 at sample size 100, whereas the uncertainty-aware model stayed near 0.95 over the same range (0.955 to 0.952; Fig. 6). Larger samples shrink </w:t>
      </w:r>
      <w:r>
        <w:lastRenderedPageBreak/>
        <w:t>the sampling noise in each year’s estimate, so the point-estimate model treats its estimate as increasingly precise and its intervals narrow. But the simulated truth also varies from year to year for reasons unrelated to climate, and this variation does not shrink with sample size. The point-estimate model ignores it, so its intervals become too narrow to capture the true effect, increasingly so as samples grow, whereas the uncertainty-aware model includes a term for it and keeps its intervals about the right width. This year-to-year variation is a different source of uncertainty from the sampling noise in the transition rates that we examined in Analyses 1 and 2.</w:t>
      </w:r>
    </w:p>
    <w:p w14:paraId="7E5B9926" w14:textId="77777777" w:rsidR="001430F9" w:rsidRDefault="00000000">
      <w:pPr>
        <w:pStyle w:val="BodyText"/>
      </w:pPr>
      <w:r>
        <w:t>On average, all three models estimated the climate effect with little systematic error (Fig. 6). For the Gaussian log-link model, the average estimate of the strongest effect (</w:t>
      </w:r>
      <m:oMath>
        <m:sSub>
          <m:sSubPr>
            <m:ctrlPr>
              <w:rPr>
                <w:rFonts w:ascii="Cambria Math" w:hAnsi="Cambria Math"/>
              </w:rPr>
            </m:ctrlPr>
          </m:sSubPr>
          <m:e>
            <m:r>
              <w:rPr>
                <w:rFonts w:ascii="Cambria Math" w:hAnsi="Cambria Math"/>
              </w:rPr>
              <m:t>β</m:t>
            </m:r>
          </m:e>
          <m:sub>
            <m:r>
              <m:rPr>
                <m:nor/>
              </m:rPr>
              <m:t>true</m:t>
            </m:r>
          </m:sub>
        </m:sSub>
        <m:r>
          <m:rPr>
            <m:sty m:val="p"/>
          </m:rPr>
          <w:rPr>
            <w:rFonts w:ascii="Cambria Math" w:hAnsi="Cambria Math"/>
          </w:rPr>
          <m:t>=</m:t>
        </m:r>
        <m:r>
          <w:rPr>
            <w:rFonts w:ascii="Cambria Math" w:hAnsi="Cambria Math"/>
          </w:rPr>
          <m:t>0.5</m:t>
        </m:r>
      </m:oMath>
      <w:r>
        <w:t>) was off by only -0.005, but its 95% intervals contained the true effect only 0.915 of the time, below the intended 0.95. The uncertainty-aware model therefore gives both an accurate estimate and intervals that contain the true effect close to 0.95 of the time.</w:t>
      </w:r>
    </w:p>
    <w:p w14:paraId="1B0F3062" w14:textId="77777777" w:rsidR="001430F9" w:rsidRDefault="00000000">
      <w:pPr>
        <w:pStyle w:val="Heading1"/>
      </w:pPr>
      <w:bookmarkStart w:id="16" w:name="discussion"/>
      <w:bookmarkEnd w:id="12"/>
      <w:bookmarkEnd w:id="15"/>
      <w:r>
        <w:t>Discussion</w:t>
      </w:r>
    </w:p>
    <w:p w14:paraId="30BFD088" w14:textId="77777777" w:rsidR="001430F9" w:rsidRDefault="00000000">
      <w:pPr>
        <w:pStyle w:val="Heading2"/>
      </w:pPr>
      <w:bookmarkStart w:id="17" w:name="Xc4e9ecdc28d90ee6ac1ec849a27dcbf36aba354"/>
      <w:r>
        <w:t>When does transition-rate sampling uncertainty materially affect inference from published MPMs?</w:t>
      </w:r>
    </w:p>
    <w:p w14:paraId="49AFBC56" w14:textId="77777777" w:rsidR="001430F9" w:rsidRDefault="00000000">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The simulation analysis clarifies that this apparent robustness does not imply that point-estimate count models are generally well calibrated: when unmodelled year-to-year biological variation is present, they can remain nearly unbiased yet still become overconfident. It is important to note that the within-species result pertains specifically to an aggregate reproductive transition </w:t>
      </w:r>
      <w:r>
        <w:lastRenderedPageBreak/>
        <w:t>(seedlings per reproductive adult) rather than to stage-specific survival transitions, which are more commonly affected by boundary estimates. The contrast between analyses 1 and 2, together with the simulation result, therefore reflects both the type of trait analysed and the type of transition underlying it.</w:t>
      </w:r>
    </w:p>
    <w:p w14:paraId="75D8FB4B" w14:textId="77777777" w:rsidR="001430F9" w:rsidRDefault="00000000">
      <w:pPr>
        <w:pStyle w:val="BodyText"/>
      </w:pPr>
      <w:r>
        <w:t>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14:paraId="202D5419" w14:textId="77777777" w:rsidR="001430F9" w:rsidRDefault="00000000">
      <w:pPr>
        <w:pStyle w:val="BodyText"/>
      </w:pPr>
      <w:r>
        <w:t>Point estimates were far more dispersed relative to their posterior means for mortality-trajectory traits, particularly shape, than for integrated metrics such as population growth rate (λ) and generation time (Table 1). This greater dispersion, together with the displacements shown in Figure 3, indicates that mortality-trajectory traits are more sensitive to sampling uncertainty than the directly observed recruitment response in the climate analysis.</w:t>
      </w:r>
    </w:p>
    <w:p w14:paraId="0600137C" w14:textId="77777777" w:rsidR="001430F9" w:rsidRDefault="00000000">
      <w:pPr>
        <w:pStyle w:val="Heading2"/>
      </w:pPr>
      <w:bookmarkStart w:id="18" w:name="Xcc44e14f294f4d2981b95417a1e5cf8a03da4dc"/>
      <w:bookmarkEnd w:id="17"/>
      <w:r>
        <w:t>Why are some MPM-derived traits particularly sensitive to sampling uncertainty, and what are the practical implications?</w:t>
      </w:r>
    </w:p>
    <w:p w14:paraId="4BF82BB3" w14:textId="77777777" w:rsidR="001430F9" w:rsidRDefault="00000000">
      <w:pPr>
        <w:pStyle w:val="FirstParagraph"/>
      </w:pPr>
      <w:r>
        <w:t xml:space="preserve">The sensitivity of mortality-trajectory traits has a clear mechanistic basis. Life expectancy and shape are inferred via age-from-stage methods, which project a cohort forward through repeated matrix multiplication, so errors in late-stage survival are not simply carried forward but compounded across projection steps, amplifying small transition-rate uncertainties into large uncertainties in long-term survivorship. Integrated metrics such as population growth rate are </w:t>
      </w:r>
      <w:r>
        <w:lastRenderedPageBreak/>
        <w:t>buffered against this, because they average over many transitions where errors tend to partially cancel, although they are not wholly immune to sampling uncertainty.</w:t>
      </w:r>
    </w:p>
    <w:p w14:paraId="0AB15FF3" w14:textId="77777777" w:rsidR="001430F9" w:rsidRDefault="00000000">
      <w:pPr>
        <w:pStyle w:val="BodyText"/>
      </w:pPr>
      <w:r>
        <w:t xml:space="preserve">Several structural features of published matrices may exacerbate this. In our Analysis 1 life expectancy-shape set (68 population-level matrix entries from 25 species), 47% (32/68) contain only a single reproductive stage class, 69% (47/68) reach their quasi-stable distribution in less than one life expectancy, and 46% (31/68) contain at least one stage-specific survival estimate of 100% after rescaling any </w:t>
      </w:r>
      <m:oMath>
        <m:r>
          <w:rPr>
            <w:rFonts w:ascii="Cambria Math" w:hAnsi="Cambria Math"/>
          </w:rPr>
          <m:t>U</m:t>
        </m:r>
      </m:oMath>
      <w:r>
        <w:t xml:space="preserve"> columns whose sums exceeded 1 (allowing for floating-point rounding). These are not rare edge cases; they are common features in our dataset that may contribute to displacement of derived trait estimates from the centre of their sampling distributions.</w:t>
      </w:r>
    </w:p>
    <w:p w14:paraId="51BAB2A9" w14:textId="77777777" w:rsidR="001430F9" w:rsidRDefault="00000000">
      <w:pPr>
        <w:pStyle w:val="BodyText"/>
      </w:pPr>
      <w:r>
        <w:t>Consistent with this explanation, within the Analysis 1 dataset displacement magnitude increases with both the number of boundary survival stages and the proportion of sampled individuals occupying those stages (Supplementary Methods section S1.12; Table S13; Figure S3).</w:t>
      </w:r>
    </w:p>
    <w:p w14:paraId="0264DEE1" w14:textId="77777777" w:rsidR="001430F9" w:rsidRDefault="00000000">
      <w:pPr>
        <w:pStyle w:val="Heading2"/>
      </w:pPr>
      <w:bookmarkStart w:id="19" w:name="X0adf71d4d7a20b69e30fb81dd3c4bc398b81df0"/>
      <w:bookmarkEnd w:id="18"/>
      <w:r>
        <w:t>Practical implications for users of compiled demographic databases</w:t>
      </w:r>
    </w:p>
    <w:p w14:paraId="72C71D46" w14:textId="77777777" w:rsidR="001430F9" w:rsidRDefault="00000000">
      <w:pPr>
        <w:pStyle w:val="FirstParagraph"/>
      </w:pPr>
      <w:r>
        <w:t>These structural constraints have practical implications. Highly aggregated demographic metrics, such as population growth rate and generation time, were among the least sensitive in our dataset, so analyses focused on them will often be robust to sampling uncertainty. Analyses of ageing, longevity, or mortality trajectories were more sensitive and warrant particular caution.</w:t>
      </w:r>
    </w:p>
    <w:p w14:paraId="5BBB07D5" w14:textId="77777777" w:rsidR="001430F9" w:rsidRDefault="00000000">
      <w:pPr>
        <w:pStyle w:val="BodyText"/>
      </w:pPr>
      <w:r>
        <w:t xml:space="preserve">Generalisability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This skew mirrors a documented bias in plant demographic data more broadly, towards short-term studies </w:t>
      </w:r>
      <w:r>
        <w:lastRenderedPageBreak/>
        <w:t>of temperate-region herbaceous perennials (Römer et al. 2024). Our conclusions should therefore be interpreted most directly for perennial herb and succulent systems, and more cautiously for woody or otherwise under-represented life forms.</w:t>
      </w:r>
    </w:p>
    <w:p w14:paraId="31285B75" w14:textId="77777777" w:rsidR="001430F9" w:rsidRDefault="00000000">
      <w:pPr>
        <w:pStyle w:val="BodyText"/>
      </w:pPr>
      <w:r>
        <w:t xml:space="preserve">Within the analysed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 </w:t>
      </w:r>
      <m:oMath>
        <m:r>
          <w:rPr>
            <w:rFonts w:ascii="Cambria Math" w:hAnsi="Cambria Math"/>
          </w:rPr>
          <m:t>N</m:t>
        </m:r>
        <m:r>
          <m:rPr>
            <m:sty m:val="p"/>
          </m:rPr>
          <w:rPr>
            <w:rFonts w:ascii="Cambria Math" w:hAnsi="Cambria Math"/>
          </w:rPr>
          <m:t>&lt;</m:t>
        </m:r>
        <m:r>
          <w:rPr>
            <w:rFonts w:ascii="Cambria Math" w:hAnsi="Cambria Math"/>
          </w:rPr>
          <m:t>20</m:t>
        </m:r>
      </m:oMath>
      <w:r>
        <w:t>,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p>
    <w:p w14:paraId="7449729D" w14:textId="77777777" w:rsidR="001430F9" w:rsidRDefault="00000000">
      <w:pPr>
        <w:pStyle w:val="BodyText"/>
      </w:pPr>
      <w:r>
        <w:t>As provisional screening heuristics, analyses warrant particular caution when: any stage has survival &gt;0.95 or &lt;0.05, or is estimated from fewer than 20 individuals; the matrix has only a single reproductive stage class; or the time to quasi-stable distribution is less than one life expectancy. Conversely, analyses may be less sensitive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p w14:paraId="40BEEC71" w14:textId="77777777" w:rsidR="001430F9" w:rsidRDefault="00000000">
      <w:pPr>
        <w:pStyle w:val="BodyText"/>
      </w:pPr>
      <w:r>
        <w:t xml:space="preserve">Our analyses used count-based, stage-structured (Lefkovitch) matrices, and the consequences of sampling uncertainty may differ for other widely used demographic model types. In age-based (Leslie) models, vital rates are indexed by age rather than stage, so the age-from-stage reconstruction that amplifies late-stage survival errors in our Analysis 1 does not arise in the same way, but uncertainty can still accumulate when survival is projected across ages. Analyses </w:t>
      </w:r>
      <w:r>
        <w:lastRenderedPageBreak/>
        <w:t>built directly from individual-level data, such as integral projection models or capture-recapture survival models, typically estimate vital rates by sharing information across ages or sizes; such partial pooling tends to reduce the variance of weakly informed rates but can induce correlations among them, altering both the magnitude and the structure of the uncertainty that propagates to derived quantities. In those settings, propagating uncertainty from the joint posterior of the fitted vital-rate model, rather than treating rate estimates as independent, would be the natural extension of our approach.</w:t>
      </w:r>
    </w:p>
    <w:p w14:paraId="77818B2E" w14:textId="77777777" w:rsidR="001430F9" w:rsidRDefault="00000000">
      <w:pPr>
        <w:pStyle w:val="Heading2"/>
      </w:pPr>
      <w:bookmarkStart w:id="20" w:name="X5fdc7baf4020c1b023796c87a5028343841c135"/>
      <w:bookmarkEnd w:id="19"/>
      <w:r>
        <w:t>Sampling uncertainty versus demographic stochasticity</w:t>
      </w:r>
    </w:p>
    <w:p w14:paraId="3FC565A3" w14:textId="77777777" w:rsidR="001430F9" w:rsidRDefault="00000000">
      <w:pPr>
        <w:pStyle w:val="FirstParagraph"/>
      </w:pPr>
      <w:r>
        <w:t>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p w14:paraId="12D8F6B5" w14:textId="77777777" w:rsidR="001430F9" w:rsidRDefault="00000000">
      <w:pPr>
        <w:pStyle w:val="Heading2"/>
      </w:pPr>
      <w:bookmarkStart w:id="21" w:name="X3d7c66beb63a3fc1b0330934550b7cb901681b0"/>
      <w:bookmarkEnd w:id="20"/>
      <w:r>
        <w:t>Data limitations and reporting considerations</w:t>
      </w:r>
    </w:p>
    <w:p w14:paraId="287D4516" w14:textId="77777777" w:rsidR="001430F9" w:rsidRDefault="00000000">
      <w:pPr>
        <w:pStyle w:val="FirstParagraph"/>
      </w:pPr>
      <w:r>
        <w:t xml:space="preserve">Incorporating transition-rate sampling uncertainty into analyses of published MPMs remains challenging, primarily because the data required to reconstruct sampling distributions are rarely reported. In our own screening, most otherwise-eligible studies had to be excluded for exactly this reason. Improved reporting of transition-specific sample sizes or standard errors, particularly on the scale of the linear predictor, would greatly enhance future researchers’ ability to assess </w:t>
      </w:r>
      <w:r>
        <w:lastRenderedPageBreak/>
        <w:t>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p w14:paraId="68D033D5" w14:textId="77777777" w:rsidR="001430F9" w:rsidRDefault="00000000">
      <w:pPr>
        <w:pStyle w:val="Heading2"/>
      </w:pPr>
      <w:bookmarkStart w:id="22" w:name="conclusions"/>
      <w:bookmarkEnd w:id="21"/>
      <w:r>
        <w:t>Conclusions</w:t>
      </w:r>
    </w:p>
    <w:p w14:paraId="1661603A" w14:textId="77777777" w:rsidR="001430F9" w:rsidRDefault="00000000">
      <w:pPr>
        <w:pStyle w:val="FirstParagraph"/>
      </w:pPr>
      <w:r>
        <w:t>Our analyses show that the consequences of transition-rate sampling uncertainty in published matrix population models are highly trait-dependent. For integrated metrics such as population growth rate and generation time, point estimates were only modestly more dispersed than their posterior means, whereas for mortality-trajectory traits, including life expectancy and especially the shape of the mortality distribution, they were much more dispersed and more sensitive to sampling uncertainty. In these cases, point estimates can be displaced from the centres of their posterior distributions by boundary estimates of stage-specific survival.</w:t>
      </w:r>
    </w:p>
    <w:p w14:paraId="30B54F7D" w14:textId="77777777" w:rsidR="001430F9" w:rsidRDefault="00000000">
      <w:pPr>
        <w:pStyle w:val="BodyText"/>
      </w:pPr>
      <w:r>
        <w:t>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14:paraId="36B72DA7" w14:textId="77777777" w:rsidR="001430F9" w:rsidRDefault="00000000">
      <w:pPr>
        <w:pStyle w:val="BodyText"/>
      </w:pPr>
      <w:r>
        <w:t xml:space="preserve">More broadly, the growing availability of large, compiled demographic databases presents both new opportunities and new challenges. The data underlying these databases were collected for </w:t>
      </w:r>
      <w:r>
        <w:lastRenderedPageBreak/>
        <w:t>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p w14:paraId="6DC141BC" w14:textId="77777777" w:rsidR="0054502B" w:rsidRDefault="0054502B" w:rsidP="0054502B">
      <w:pPr>
        <w:pStyle w:val="Heading1"/>
      </w:pPr>
      <w:bookmarkStart w:id="23" w:name="data-availability"/>
      <w:bookmarkStart w:id="24" w:name="acknowledgements"/>
      <w:bookmarkEnd w:id="16"/>
      <w:bookmarkEnd w:id="22"/>
      <w:r>
        <w:t>Acknowledgements</w:t>
      </w:r>
    </w:p>
    <w:p w14:paraId="2A03CE5F" w14:textId="77777777" w:rsidR="0054502B" w:rsidRDefault="0054502B" w:rsidP="0054502B">
      <w:pPr>
        <w:pStyle w:val="FirstParagraph"/>
      </w:pPr>
      <w:r>
        <w:t>[removed for anonymous review]</w:t>
      </w:r>
    </w:p>
    <w:p w14:paraId="6F10DCC3" w14:textId="77777777" w:rsidR="0054502B" w:rsidRDefault="0054502B" w:rsidP="0054502B">
      <w:pPr>
        <w:pStyle w:val="Heading1"/>
      </w:pPr>
      <w:bookmarkStart w:id="25" w:name="author-contributions"/>
      <w:bookmarkEnd w:id="24"/>
      <w:r>
        <w:t>Author contributions</w:t>
      </w:r>
    </w:p>
    <w:p w14:paraId="74F22544" w14:textId="77777777" w:rsidR="0054502B" w:rsidRDefault="0054502B" w:rsidP="0054502B">
      <w:pPr>
        <w:pStyle w:val="FirstParagraph"/>
      </w:pPr>
      <w:bookmarkStart w:id="26" w:name="conflict-of-interest"/>
      <w:bookmarkEnd w:id="25"/>
      <w:r>
        <w:t>[removed for anonymous review]</w:t>
      </w:r>
    </w:p>
    <w:p w14:paraId="088C8849" w14:textId="77777777" w:rsidR="0054502B" w:rsidRDefault="0054502B" w:rsidP="0054502B">
      <w:pPr>
        <w:pStyle w:val="Heading1"/>
      </w:pPr>
      <w:r>
        <w:t>Conflict of interest</w:t>
      </w:r>
    </w:p>
    <w:p w14:paraId="1254FF43" w14:textId="77777777" w:rsidR="0054502B" w:rsidRDefault="0054502B" w:rsidP="0054502B">
      <w:pPr>
        <w:pStyle w:val="FirstParagraph"/>
      </w:pPr>
      <w:r>
        <w:t>The authors declare no conflict of interest.</w:t>
      </w:r>
    </w:p>
    <w:bookmarkEnd w:id="26"/>
    <w:p w14:paraId="61D15D4B" w14:textId="77777777" w:rsidR="0054502B" w:rsidRDefault="0054502B" w:rsidP="0054502B">
      <w:pPr>
        <w:pStyle w:val="Heading1"/>
      </w:pPr>
      <w:r>
        <w:t>Data availability</w:t>
      </w:r>
    </w:p>
    <w:p w14:paraId="37F4E9AD" w14:textId="77777777" w:rsidR="0054502B" w:rsidRDefault="0054502B" w:rsidP="0054502B">
      <w:pPr>
        <w:pStyle w:val="FirstParagraph"/>
      </w:pPr>
      <w:r>
        <w:t>Data and code required to reproduce our analyses are provided for review in a zip archive. They will be archived in a publicly accessible repository upon manuscript acceptance.</w:t>
      </w:r>
    </w:p>
    <w:p w14:paraId="136BC6A2" w14:textId="0DCD527D" w:rsidR="001430F9" w:rsidRDefault="001430F9">
      <w:pPr>
        <w:pStyle w:val="FirstParagraph"/>
      </w:pPr>
    </w:p>
    <w:p w14:paraId="28AFFD4F" w14:textId="77777777" w:rsidR="001430F9" w:rsidRDefault="00000000">
      <w:pPr>
        <w:pStyle w:val="Heading1"/>
      </w:pPr>
      <w:bookmarkStart w:id="27" w:name="supplementary-materials"/>
      <w:bookmarkEnd w:id="23"/>
      <w:r>
        <w:t>Supplementary Materials</w:t>
      </w:r>
    </w:p>
    <w:p w14:paraId="02958BFB" w14:textId="77777777" w:rsidR="001430F9" w:rsidRDefault="00000000">
      <w:pPr>
        <w:pStyle w:val="FirstParagraph"/>
      </w:pPr>
      <w:r>
        <w:t>The supplementary materials include the following items:</w:t>
      </w:r>
    </w:p>
    <w:p w14:paraId="3E27CC37" w14:textId="77777777" w:rsidR="001430F9" w:rsidRDefault="00000000">
      <w:pPr>
        <w:pStyle w:val="Compact"/>
        <w:numPr>
          <w:ilvl w:val="0"/>
          <w:numId w:val="4"/>
        </w:numPr>
      </w:pPr>
      <w:r>
        <w:rPr>
          <w:b/>
          <w:bCs/>
        </w:rPr>
        <w:t>Supplementary Methods S1.1</w:t>
      </w:r>
      <w:r>
        <w:t>: Sampling-distribution workflow used for each MPM.</w:t>
      </w:r>
    </w:p>
    <w:p w14:paraId="17D21E05" w14:textId="77777777" w:rsidR="001430F9" w:rsidRDefault="00000000">
      <w:pPr>
        <w:pStyle w:val="Compact"/>
        <w:numPr>
          <w:ilvl w:val="0"/>
          <w:numId w:val="4"/>
        </w:numPr>
      </w:pPr>
      <w:r>
        <w:rPr>
          <w:b/>
          <w:bCs/>
        </w:rPr>
        <w:lastRenderedPageBreak/>
        <w:t>Supplementary Methods S1.2</w:t>
      </w:r>
      <w:r>
        <w:t>: Age-from-stage derivation, truncation, and shape metric.</w:t>
      </w:r>
    </w:p>
    <w:p w14:paraId="72D66D98" w14:textId="77777777" w:rsidR="001430F9" w:rsidRDefault="00000000">
      <w:pPr>
        <w:pStyle w:val="Compact"/>
        <w:numPr>
          <w:ilvl w:val="0"/>
          <w:numId w:val="4"/>
        </w:numPr>
      </w:pPr>
      <w:r>
        <w:rPr>
          <w:b/>
          <w:bCs/>
        </w:rPr>
        <w:t>Supplementary Methods S1.3</w:t>
      </w:r>
      <w:r>
        <w:t>: Pooled and mean MPM handling.</w:t>
      </w:r>
    </w:p>
    <w:p w14:paraId="273760DF" w14:textId="77777777" w:rsidR="001430F9" w:rsidRDefault="00000000">
      <w:pPr>
        <w:pStyle w:val="Compact"/>
        <w:numPr>
          <w:ilvl w:val="0"/>
          <w:numId w:val="4"/>
        </w:numPr>
      </w:pPr>
      <w:r>
        <w:rPr>
          <w:b/>
          <w:bCs/>
        </w:rPr>
        <w:t>Supplementary Methods S1.4</w:t>
      </w:r>
      <w:r>
        <w:t>: Bayesian model priors and fitting settings.</w:t>
      </w:r>
    </w:p>
    <w:p w14:paraId="128C2035" w14:textId="77777777" w:rsidR="001430F9" w:rsidRDefault="00000000">
      <w:pPr>
        <w:pStyle w:val="Compact"/>
        <w:numPr>
          <w:ilvl w:val="0"/>
          <w:numId w:val="4"/>
        </w:numPr>
      </w:pPr>
      <w:r>
        <w:rPr>
          <w:b/>
          <w:bCs/>
        </w:rPr>
        <w:t>Supplementary Methods S1.5</w:t>
      </w:r>
      <w:r>
        <w:t>: Comparison of point-estimate and posterior-mean variance.</w:t>
      </w:r>
    </w:p>
    <w:p w14:paraId="24BC58E3" w14:textId="77777777" w:rsidR="001430F9" w:rsidRDefault="00000000">
      <w:pPr>
        <w:pStyle w:val="Compact"/>
        <w:numPr>
          <w:ilvl w:val="0"/>
          <w:numId w:val="4"/>
        </w:numPr>
      </w:pPr>
      <w:r>
        <w:rPr>
          <w:b/>
          <w:bCs/>
        </w:rPr>
        <w:t>Supplementary Methods S1.6</w:t>
      </w:r>
      <w:r>
        <w:t>: Simplified spring-temperature model (Analysis 2).</w:t>
      </w:r>
    </w:p>
    <w:p w14:paraId="68AAC8D1" w14:textId="77777777" w:rsidR="001430F9" w:rsidRDefault="00000000">
      <w:pPr>
        <w:pStyle w:val="Compact"/>
        <w:numPr>
          <w:ilvl w:val="0"/>
          <w:numId w:val="4"/>
        </w:numPr>
      </w:pPr>
      <w:r>
        <w:rPr>
          <w:b/>
          <w:bCs/>
        </w:rPr>
        <w:t>Supplementary Methods S1.7</w:t>
      </w:r>
      <w:r>
        <w:t>: Reporting recommendations for future MPM studies.</w:t>
      </w:r>
    </w:p>
    <w:p w14:paraId="7AE6D748" w14:textId="77777777" w:rsidR="001430F9" w:rsidRDefault="00000000">
      <w:pPr>
        <w:pStyle w:val="Compact"/>
        <w:numPr>
          <w:ilvl w:val="0"/>
          <w:numId w:val="4"/>
        </w:numPr>
      </w:pPr>
      <w:r>
        <w:rPr>
          <w:b/>
          <w:bCs/>
        </w:rPr>
        <w:t>Supplementary Methods S1.8</w:t>
      </w:r>
      <w:r>
        <w:t>: Included versus excluded studies in the current target-study screen.</w:t>
      </w:r>
    </w:p>
    <w:p w14:paraId="04DDF1CD" w14:textId="77777777" w:rsidR="001430F9" w:rsidRDefault="00000000">
      <w:pPr>
        <w:pStyle w:val="Compact"/>
        <w:numPr>
          <w:ilvl w:val="0"/>
          <w:numId w:val="4"/>
        </w:numPr>
      </w:pPr>
      <w:r>
        <w:rPr>
          <w:b/>
          <w:bCs/>
        </w:rPr>
        <w:t>Supplementary Methods S1.9</w:t>
      </w:r>
      <w:r>
        <w:t>: Species identities in Analysis 1.</w:t>
      </w:r>
    </w:p>
    <w:p w14:paraId="5191F6B3" w14:textId="77777777" w:rsidR="001430F9" w:rsidRDefault="00000000">
      <w:pPr>
        <w:pStyle w:val="Compact"/>
        <w:numPr>
          <w:ilvl w:val="0"/>
          <w:numId w:val="4"/>
        </w:numPr>
      </w:pPr>
      <w:r>
        <w:rPr>
          <w:b/>
          <w:bCs/>
        </w:rPr>
        <w:t>Supplementary Methods S1.10</w:t>
      </w:r>
      <w:r>
        <w:t>: Multisite robustness extension of Analysis 2 (</w:t>
      </w:r>
      <w:r>
        <w:rPr>
          <w:i/>
          <w:iCs/>
        </w:rPr>
        <w:t>Astragalus scaphoides</w:t>
      </w:r>
      <w:r>
        <w:t>).</w:t>
      </w:r>
    </w:p>
    <w:p w14:paraId="67B217D4" w14:textId="77777777" w:rsidR="001430F9" w:rsidRDefault="00000000">
      <w:pPr>
        <w:pStyle w:val="Compact"/>
        <w:numPr>
          <w:ilvl w:val="0"/>
          <w:numId w:val="4"/>
        </w:numPr>
      </w:pPr>
      <w:r>
        <w:rPr>
          <w:b/>
          <w:bCs/>
        </w:rPr>
        <w:t>Supplementary Methods S1.11</w:t>
      </w:r>
      <w:r>
        <w:t>: Boundary survival estimates and small stage-specific sample sizes in Analysis 1.</w:t>
      </w:r>
    </w:p>
    <w:p w14:paraId="364901F3" w14:textId="77777777" w:rsidR="001430F9" w:rsidRDefault="00000000">
      <w:pPr>
        <w:pStyle w:val="Compact"/>
        <w:numPr>
          <w:ilvl w:val="0"/>
          <w:numId w:val="4"/>
        </w:numPr>
      </w:pPr>
      <w:r>
        <w:rPr>
          <w:b/>
          <w:bCs/>
        </w:rPr>
        <w:t>Supplementary Methods S1.12</w:t>
      </w:r>
      <w:r>
        <w:t>: Displacement magnitude versus boundary survival structure.</w:t>
      </w:r>
    </w:p>
    <w:p w14:paraId="29DC8A44" w14:textId="77777777" w:rsidR="001430F9" w:rsidRDefault="00000000">
      <w:pPr>
        <w:pStyle w:val="Compact"/>
        <w:numPr>
          <w:ilvl w:val="0"/>
          <w:numId w:val="4"/>
        </w:numPr>
      </w:pPr>
      <w:r>
        <w:rPr>
          <w:b/>
          <w:bCs/>
        </w:rPr>
        <w:t>Supplementary Methods S1.13</w:t>
      </w:r>
      <w:r>
        <w:t>: Sensitivity to the quasi-stable-distribution truncation threshold.</w:t>
      </w:r>
    </w:p>
    <w:p w14:paraId="0CB11505" w14:textId="77777777" w:rsidR="001430F9" w:rsidRDefault="00000000">
      <w:pPr>
        <w:pStyle w:val="Compact"/>
        <w:numPr>
          <w:ilvl w:val="0"/>
          <w:numId w:val="4"/>
        </w:numPr>
      </w:pPr>
      <w:r>
        <w:rPr>
          <w:b/>
          <w:bCs/>
        </w:rPr>
        <w:t>Supplementary Results S2.1</w:t>
      </w:r>
      <w:r>
        <w:t>: Sensitivity to point-estimate weighting choice (no weights vs SSD weights).</w:t>
      </w:r>
    </w:p>
    <w:p w14:paraId="00800AC8" w14:textId="77777777" w:rsidR="001430F9" w:rsidRDefault="00000000">
      <w:pPr>
        <w:pStyle w:val="Compact"/>
        <w:numPr>
          <w:ilvl w:val="0"/>
          <w:numId w:val="4"/>
        </w:numPr>
      </w:pPr>
      <w:r>
        <w:rPr>
          <w:b/>
          <w:bCs/>
        </w:rPr>
        <w:t>Supplementary Results S2.2</w:t>
      </w:r>
      <w:r>
        <w:t>: Where do boundary estimates and small stage counts occur?</w:t>
      </w:r>
    </w:p>
    <w:p w14:paraId="4B2A4358" w14:textId="77777777" w:rsidR="001430F9" w:rsidRDefault="00000000">
      <w:pPr>
        <w:pStyle w:val="Compact"/>
        <w:numPr>
          <w:ilvl w:val="0"/>
          <w:numId w:val="4"/>
        </w:numPr>
      </w:pPr>
      <w:r>
        <w:rPr>
          <w:b/>
          <w:bCs/>
        </w:rPr>
        <w:lastRenderedPageBreak/>
        <w:t>Supplementary Results S2.3</w:t>
      </w:r>
      <w:r>
        <w:t>: Does displacement increase with boundary survival structure?</w:t>
      </w:r>
    </w:p>
    <w:p w14:paraId="2F6652A6" w14:textId="77777777" w:rsidR="001430F9" w:rsidRDefault="00000000">
      <w:pPr>
        <w:pStyle w:val="Compact"/>
        <w:numPr>
          <w:ilvl w:val="0"/>
          <w:numId w:val="4"/>
        </w:numPr>
      </w:pPr>
      <w:r>
        <w:rPr>
          <w:b/>
          <w:bCs/>
        </w:rPr>
        <w:t>Supplementary Results S2.4</w:t>
      </w:r>
      <w:r>
        <w:t>: Sensitivity of shape estimates to the truncation threshold.</w:t>
      </w:r>
    </w:p>
    <w:p w14:paraId="037D7AC8" w14:textId="77777777" w:rsidR="001430F9" w:rsidRDefault="00000000">
      <w:pPr>
        <w:pStyle w:val="Compact"/>
        <w:numPr>
          <w:ilvl w:val="0"/>
          <w:numId w:val="4"/>
        </w:numPr>
      </w:pPr>
      <w:r>
        <w:rPr>
          <w:b/>
          <w:bCs/>
        </w:rPr>
        <w:t>Supplementary Results S2.5</w:t>
      </w:r>
      <w:r>
        <w:t xml:space="preserve">: Multisite robustness analysis in </w:t>
      </w:r>
      <w:r>
        <w:rPr>
          <w:i/>
          <w:iCs/>
        </w:rPr>
        <w:t>Astragalus scaphoides</w:t>
      </w:r>
      <w:r>
        <w:t>.</w:t>
      </w:r>
    </w:p>
    <w:p w14:paraId="7FDC0147" w14:textId="77777777" w:rsidR="001430F9" w:rsidRDefault="00000000">
      <w:pPr>
        <w:pStyle w:val="Compact"/>
        <w:numPr>
          <w:ilvl w:val="0"/>
          <w:numId w:val="4"/>
        </w:numPr>
      </w:pPr>
      <w:r>
        <w:rPr>
          <w:b/>
          <w:bCs/>
        </w:rPr>
        <w:t>Table S1</w:t>
      </w:r>
      <w:r>
        <w:t xml:space="preserve">: Single-MPM derived-parameter summary for the focal </w:t>
      </w:r>
      <w:r>
        <w:rPr>
          <w:i/>
          <w:iCs/>
        </w:rPr>
        <w:t>Agrimonia eupatoria</w:t>
      </w:r>
      <w:r>
        <w:t xml:space="preserve"> example.</w:t>
      </w:r>
    </w:p>
    <w:p w14:paraId="3629EA98" w14:textId="77777777" w:rsidR="001430F9" w:rsidRDefault="00000000">
      <w:pPr>
        <w:pStyle w:val="Compact"/>
        <w:numPr>
          <w:ilvl w:val="0"/>
          <w:numId w:val="4"/>
        </w:numPr>
      </w:pPr>
      <w:r>
        <w:rPr>
          <w:b/>
          <w:bCs/>
        </w:rPr>
        <w:t>Table S2</w:t>
      </w:r>
      <w:r>
        <w:t xml:space="preserve">: Mean-MPM derived-parameter summary for the focal </w:t>
      </w:r>
      <w:r>
        <w:rPr>
          <w:i/>
          <w:iCs/>
        </w:rPr>
        <w:t>Agrimonia eupatoria</w:t>
      </w:r>
      <w:r>
        <w:t xml:space="preserve"> example (population B).</w:t>
      </w:r>
    </w:p>
    <w:p w14:paraId="01198EFB" w14:textId="77777777" w:rsidR="001430F9" w:rsidRDefault="00000000">
      <w:pPr>
        <w:pStyle w:val="Compact"/>
        <w:numPr>
          <w:ilvl w:val="0"/>
          <w:numId w:val="4"/>
        </w:numPr>
      </w:pPr>
      <w:r>
        <w:rPr>
          <w:b/>
          <w:bCs/>
        </w:rPr>
        <w:t>Table S3</w:t>
      </w:r>
      <w:r>
        <w:t>: Analysis 1 posterior summary for the slope parameter (β) in the life expectancy-shape model.</w:t>
      </w:r>
    </w:p>
    <w:p w14:paraId="4C8EEAC8" w14:textId="77777777" w:rsidR="001430F9" w:rsidRDefault="00000000">
      <w:pPr>
        <w:pStyle w:val="Compact"/>
        <w:numPr>
          <w:ilvl w:val="0"/>
          <w:numId w:val="4"/>
        </w:numPr>
      </w:pPr>
      <w:r>
        <w:rPr>
          <w:b/>
          <w:bCs/>
        </w:rPr>
        <w:t>Table S4</w:t>
      </w:r>
      <w:r>
        <w:t>: Analysis 2 Gaussian-process regression coefficients (monthly lags) for recruitment responses to temperature anomalies.</w:t>
      </w:r>
    </w:p>
    <w:p w14:paraId="21D1CBF5" w14:textId="77777777" w:rsidR="001430F9" w:rsidRDefault="00000000">
      <w:pPr>
        <w:pStyle w:val="Compact"/>
        <w:numPr>
          <w:ilvl w:val="0"/>
          <w:numId w:val="4"/>
        </w:numPr>
      </w:pPr>
      <w:r>
        <w:rPr>
          <w:b/>
          <w:bCs/>
        </w:rPr>
        <w:t>Table S5</w:t>
      </w:r>
      <w:r>
        <w:t>: Analysis 2 posterior summary for the spring-temperature coefficient.</w:t>
      </w:r>
    </w:p>
    <w:p w14:paraId="088A3805" w14:textId="77777777" w:rsidR="001430F9" w:rsidRDefault="00000000">
      <w:pPr>
        <w:pStyle w:val="Compact"/>
        <w:numPr>
          <w:ilvl w:val="0"/>
          <w:numId w:val="4"/>
        </w:numPr>
      </w:pPr>
      <w:r>
        <w:rPr>
          <w:b/>
          <w:bCs/>
        </w:rPr>
        <w:t>Table S6</w:t>
      </w:r>
      <w:r>
        <w:t>: Primary studies represented in the analysis subset, as identified in COMPADRE.</w:t>
      </w:r>
    </w:p>
    <w:p w14:paraId="3993CC44" w14:textId="77777777" w:rsidR="001430F9" w:rsidRDefault="00000000">
      <w:pPr>
        <w:pStyle w:val="Compact"/>
        <w:numPr>
          <w:ilvl w:val="0"/>
          <w:numId w:val="4"/>
        </w:numPr>
      </w:pPr>
      <w:r>
        <w:rPr>
          <w:b/>
          <w:bCs/>
        </w:rPr>
        <w:t>Table S7</w:t>
      </w:r>
      <w:r>
        <w:t xml:space="preserve">: Multisite robustness-analysis site coverage and spring-temperature effect summaries for </w:t>
      </w:r>
      <w:r>
        <w:rPr>
          <w:i/>
          <w:iCs/>
        </w:rPr>
        <w:t>Astragalus scaphoides</w:t>
      </w:r>
      <w:r>
        <w:t>.</w:t>
      </w:r>
    </w:p>
    <w:p w14:paraId="76102C3C" w14:textId="77777777" w:rsidR="001430F9" w:rsidRDefault="00000000">
      <w:pPr>
        <w:pStyle w:val="Compact"/>
        <w:numPr>
          <w:ilvl w:val="0"/>
          <w:numId w:val="4"/>
        </w:numPr>
      </w:pPr>
      <w:r>
        <w:rPr>
          <w:b/>
          <w:bCs/>
        </w:rPr>
        <w:t>Table S8</w:t>
      </w:r>
      <w:r>
        <w:t>: Multisite robustness-analysis posterior summary for the spring-temperature coefficient by site and model formulation.</w:t>
      </w:r>
    </w:p>
    <w:p w14:paraId="657DEA56" w14:textId="77777777" w:rsidR="001430F9" w:rsidRDefault="00000000">
      <w:pPr>
        <w:pStyle w:val="Compact"/>
        <w:numPr>
          <w:ilvl w:val="0"/>
          <w:numId w:val="4"/>
        </w:numPr>
      </w:pPr>
      <w:r>
        <w:rPr>
          <w:b/>
          <w:bCs/>
        </w:rPr>
        <w:t>Table S9</w:t>
      </w:r>
      <w:r>
        <w:t>: Analysis 2 stage-specific survival-temperature coefficients under no weights and SSD weights.</w:t>
      </w:r>
    </w:p>
    <w:p w14:paraId="2A93DEB4" w14:textId="77777777" w:rsidR="001430F9" w:rsidRDefault="00000000">
      <w:pPr>
        <w:pStyle w:val="Compact"/>
        <w:numPr>
          <w:ilvl w:val="0"/>
          <w:numId w:val="4"/>
        </w:numPr>
      </w:pPr>
      <w:r>
        <w:rPr>
          <w:b/>
          <w:bCs/>
        </w:rPr>
        <w:t>Table S10</w:t>
      </w:r>
      <w:r>
        <w:t>: Multisite robustness-analysis stage-specific survival-temperature coefficients under no weights and SSD weights.</w:t>
      </w:r>
    </w:p>
    <w:p w14:paraId="05D363BB" w14:textId="77777777" w:rsidR="001430F9" w:rsidRDefault="00000000">
      <w:pPr>
        <w:pStyle w:val="Compact"/>
        <w:numPr>
          <w:ilvl w:val="0"/>
          <w:numId w:val="4"/>
        </w:numPr>
      </w:pPr>
      <w:r>
        <w:rPr>
          <w:b/>
          <w:bCs/>
        </w:rPr>
        <w:lastRenderedPageBreak/>
        <w:t>Table S11</w:t>
      </w:r>
      <w:r>
        <w:t>: Comparison of screened target studies that were included versus excluded under the current reproducible COMPADRE-based screen.</w:t>
      </w:r>
    </w:p>
    <w:p w14:paraId="19A5A33A" w14:textId="77777777" w:rsidR="001430F9" w:rsidRDefault="00000000">
      <w:pPr>
        <w:pStyle w:val="Compact"/>
        <w:numPr>
          <w:ilvl w:val="0"/>
          <w:numId w:val="4"/>
        </w:numPr>
      </w:pPr>
      <w:r>
        <w:rPr>
          <w:b/>
          <w:bCs/>
        </w:rPr>
        <w:t>Table S12</w:t>
      </w:r>
      <w:r>
        <w:t>: Distribution of boundary survival estimates and small stage-specific sample sizes across Analysis 1 population-level MPM entries.</w:t>
      </w:r>
    </w:p>
    <w:p w14:paraId="02739495" w14:textId="77777777" w:rsidR="001430F9" w:rsidRDefault="00000000">
      <w:pPr>
        <w:pStyle w:val="Compact"/>
        <w:numPr>
          <w:ilvl w:val="0"/>
          <w:numId w:val="4"/>
        </w:numPr>
      </w:pPr>
      <w:r>
        <w:rPr>
          <w:b/>
          <w:bCs/>
        </w:rPr>
        <w:t>Table S13</w:t>
      </w:r>
      <w:r>
        <w:t>: Linear models relating displacement magnitude in Analysis 1 to boundary-survival predictors.</w:t>
      </w:r>
    </w:p>
    <w:p w14:paraId="2717C78F" w14:textId="77777777" w:rsidR="001430F9" w:rsidRDefault="00000000">
      <w:pPr>
        <w:pStyle w:val="Compact"/>
        <w:numPr>
          <w:ilvl w:val="0"/>
          <w:numId w:val="4"/>
        </w:numPr>
      </w:pPr>
      <w:r>
        <w:rPr>
          <w:b/>
          <w:bCs/>
        </w:rPr>
        <w:t>Table S14</w:t>
      </w:r>
      <w:r>
        <w:t>: Sensitivity of Analysis 1 shape estimates to the quasi-stable-distribution truncation threshold.</w:t>
      </w:r>
    </w:p>
    <w:p w14:paraId="564F91F7" w14:textId="77777777" w:rsidR="001430F9" w:rsidRDefault="00000000">
      <w:pPr>
        <w:pStyle w:val="Compact"/>
        <w:numPr>
          <w:ilvl w:val="0"/>
          <w:numId w:val="4"/>
        </w:numPr>
      </w:pPr>
      <w:r>
        <w:rPr>
          <w:b/>
          <w:bCs/>
        </w:rPr>
        <w:t>Figure S1</w:t>
      </w:r>
      <w:r>
        <w:t>: Boundary-estimate diagnostic.</w:t>
      </w:r>
    </w:p>
    <w:p w14:paraId="459F997B" w14:textId="77777777" w:rsidR="001430F9" w:rsidRDefault="00000000">
      <w:pPr>
        <w:pStyle w:val="Compact"/>
        <w:numPr>
          <w:ilvl w:val="0"/>
          <w:numId w:val="4"/>
        </w:numPr>
      </w:pPr>
      <w:r>
        <w:rPr>
          <w:b/>
          <w:bCs/>
        </w:rPr>
        <w:t>Figure S2</w:t>
      </w:r>
      <w:r>
        <w:t>: Illustration of survivorship trajectories under boundary survival transitions.</w:t>
      </w:r>
    </w:p>
    <w:p w14:paraId="16CFDAFA" w14:textId="77777777" w:rsidR="001430F9" w:rsidRDefault="00000000">
      <w:pPr>
        <w:pStyle w:val="Compact"/>
        <w:numPr>
          <w:ilvl w:val="0"/>
          <w:numId w:val="4"/>
        </w:numPr>
      </w:pPr>
      <w:r>
        <w:rPr>
          <w:b/>
          <w:bCs/>
        </w:rPr>
        <w:t>Figure S3</w:t>
      </w:r>
      <w:r>
        <w:t>: Displacement magnitude in Analysis 1 versus boundary-survival structure.</w:t>
      </w:r>
    </w:p>
    <w:p w14:paraId="3F1073C0" w14:textId="77777777" w:rsidR="001430F9" w:rsidRDefault="00000000">
      <w:pPr>
        <w:pStyle w:val="Compact"/>
        <w:numPr>
          <w:ilvl w:val="0"/>
          <w:numId w:val="4"/>
        </w:numPr>
      </w:pPr>
      <w:r>
        <w:rPr>
          <w:b/>
          <w:bCs/>
        </w:rPr>
        <w:t>Figure S4</w:t>
      </w:r>
      <w:r>
        <w:t>: Sensitivity of Analysis 1 shape estimates to the quasi-stable-distribution truncation threshold.</w:t>
      </w:r>
    </w:p>
    <w:p w14:paraId="753558CD" w14:textId="77777777" w:rsidR="001430F9" w:rsidRDefault="00000000">
      <w:pPr>
        <w:pStyle w:val="Compact"/>
        <w:numPr>
          <w:ilvl w:val="0"/>
          <w:numId w:val="4"/>
        </w:numPr>
      </w:pPr>
      <w:r>
        <w:rPr>
          <w:b/>
          <w:bCs/>
        </w:rPr>
        <w:t>Figure S5</w:t>
      </w:r>
      <w:r>
        <w:t xml:space="preserve">: Multisite robustness analysis for </w:t>
      </w:r>
      <w:r>
        <w:rPr>
          <w:i/>
          <w:iCs/>
        </w:rPr>
        <w:t>Astragalus scaphoides</w:t>
      </w:r>
      <w:r>
        <w:t>.</w:t>
      </w:r>
    </w:p>
    <w:p w14:paraId="1A9C9853" w14:textId="77777777" w:rsidR="001430F9" w:rsidRDefault="00000000">
      <w:r>
        <w:br w:type="page"/>
      </w:r>
    </w:p>
    <w:p w14:paraId="048C788E" w14:textId="77777777" w:rsidR="001430F9" w:rsidRDefault="00000000">
      <w:pPr>
        <w:pStyle w:val="Heading1"/>
      </w:pPr>
      <w:bookmarkStart w:id="28" w:name="references"/>
      <w:bookmarkEnd w:id="27"/>
      <w:r>
        <w:lastRenderedPageBreak/>
        <w:t>References</w:t>
      </w:r>
    </w:p>
    <w:p w14:paraId="1BF98F3E" w14:textId="77777777" w:rsidR="001430F9" w:rsidRDefault="00000000">
      <w:pPr>
        <w:pStyle w:val="FirstParagraph"/>
      </w:pPr>
      <w:r>
        <w:t xml:space="preserve">Adler, P. B., Salguero-Gómez, R., Compagnoni, A., Hsu, J. S., Ray-Mukherjee, J., Mbeau-Ache, C., and Franco, M. (2014) Functional traits explain variation in plant life history strategies. </w:t>
      </w:r>
      <w:r>
        <w:rPr>
          <w:i/>
          <w:iCs/>
        </w:rPr>
        <w:t>Proceedings of the National Academy of Sciences</w:t>
      </w:r>
      <w:r>
        <w:t xml:space="preserve">, 111, 740-745. </w:t>
      </w:r>
      <w:hyperlink r:id="rId7">
        <w:r>
          <w:rPr>
            <w:rStyle w:val="Hyperlink"/>
          </w:rPr>
          <w:t>https://doi.org/10.1073/pnas.1315179111</w:t>
        </w:r>
      </w:hyperlink>
    </w:p>
    <w:p w14:paraId="4FF90514" w14:textId="77777777" w:rsidR="001430F9" w:rsidRDefault="00000000">
      <w:pPr>
        <w:pStyle w:val="BodyText"/>
      </w:pPr>
      <w:r>
        <w:t xml:space="preserve">Baudisch, A. (2011) The pace and shape of ageing. </w:t>
      </w:r>
      <w:r>
        <w:rPr>
          <w:i/>
          <w:iCs/>
        </w:rPr>
        <w:t>Methods in Ecology and Evolution</w:t>
      </w:r>
      <w:r>
        <w:t xml:space="preserve">, 2, 375-382. </w:t>
      </w:r>
      <w:hyperlink r:id="rId8">
        <w:r>
          <w:rPr>
            <w:rStyle w:val="Hyperlink"/>
          </w:rPr>
          <w:t>https://doi.org/10.1111/j.2041-210X.2010.00087.x</w:t>
        </w:r>
      </w:hyperlink>
    </w:p>
    <w:p w14:paraId="1F44BC04" w14:textId="77777777" w:rsidR="001430F9" w:rsidRDefault="00000000">
      <w:pPr>
        <w:pStyle w:val="BodyText"/>
      </w:pPr>
      <w:r>
        <w:t xml:space="preserve">Baudisch, A., Salguero-Gómez, R., Jones, O. R., Wrycza, T., Mbeau-Ache, C., Franco, M., and Colchero, F. (2013) The pace and shape of senescence in angiosperms. </w:t>
      </w:r>
      <w:r>
        <w:rPr>
          <w:i/>
          <w:iCs/>
        </w:rPr>
        <w:t>Journal of Ecology</w:t>
      </w:r>
      <w:r>
        <w:t xml:space="preserve">, 101, 596-606. </w:t>
      </w:r>
      <w:hyperlink r:id="rId9">
        <w:r>
          <w:rPr>
            <w:rStyle w:val="Hyperlink"/>
          </w:rPr>
          <w:t>https://doi.org/10.1111/1365-2745.12084</w:t>
        </w:r>
      </w:hyperlink>
    </w:p>
    <w:p w14:paraId="2AEDA093" w14:textId="77777777" w:rsidR="001430F9" w:rsidRDefault="00000000">
      <w:pPr>
        <w:pStyle w:val="BodyText"/>
      </w:pPr>
      <w:r>
        <w:t xml:space="preserve">Biggs, R., Carpenter, S. R., and Brock, W. A. (2009) Spurious certainty: how ignoring measurement error and environmental heterogeneity may contribute to environmental controversies. </w:t>
      </w:r>
      <w:r>
        <w:rPr>
          <w:i/>
          <w:iCs/>
        </w:rPr>
        <w:t>BioScience</w:t>
      </w:r>
      <w:r>
        <w:t xml:space="preserve">, 59, 65-76. </w:t>
      </w:r>
      <w:hyperlink r:id="rId10">
        <w:r>
          <w:rPr>
            <w:rStyle w:val="Hyperlink"/>
          </w:rPr>
          <w:t>https://doi.org/10.1525/bio.2009.59.1.10</w:t>
        </w:r>
      </w:hyperlink>
    </w:p>
    <w:p w14:paraId="7935E6F0" w14:textId="77777777" w:rsidR="001430F9" w:rsidRDefault="00000000">
      <w:pPr>
        <w:pStyle w:val="BodyText"/>
      </w:pPr>
      <w:r>
        <w:t xml:space="preserve">Caswell, H. (2001) </w:t>
      </w:r>
      <w:r>
        <w:rPr>
          <w:i/>
          <w:iCs/>
        </w:rPr>
        <w:t>Matrix population models: construction, analysis, and interpretation</w:t>
      </w:r>
      <w:r>
        <w:t>, 2nd ed. Sinauer, Sunderland, MA.</w:t>
      </w:r>
    </w:p>
    <w:p w14:paraId="23E98697" w14:textId="77777777" w:rsidR="001430F9" w:rsidRDefault="00000000">
      <w:pPr>
        <w:pStyle w:val="BodyText"/>
      </w:pPr>
      <w:r>
        <w:t xml:space="preserve">Cochran, M. E., and Ellner, S. (1992) Simple Methods for Calculating age-based life history parameters for stage-structured populations. </w:t>
      </w:r>
      <w:r>
        <w:rPr>
          <w:i/>
          <w:iCs/>
        </w:rPr>
        <w:t>Ecological Monographs</w:t>
      </w:r>
      <w:r>
        <w:t xml:space="preserve">, 62, 345-364. </w:t>
      </w:r>
      <w:hyperlink r:id="rId11">
        <w:r>
          <w:rPr>
            <w:rStyle w:val="Hyperlink"/>
          </w:rPr>
          <w:t>https://doi.org/10.2307/2937115</w:t>
        </w:r>
      </w:hyperlink>
    </w:p>
    <w:p w14:paraId="50DD1D01" w14:textId="77777777" w:rsidR="001430F9" w:rsidRDefault="00000000">
      <w:pPr>
        <w:pStyle w:val="BodyText"/>
      </w:pPr>
      <w:r>
        <w:t xml:space="preserve">Coutts, S. R., Salguero-Gómez, R., Csergő, A. M., and Buckley, Y. M. (2016) Extrapolating demography with climate, proximity and phylogeny: approach with caution. </w:t>
      </w:r>
      <w:r>
        <w:rPr>
          <w:i/>
          <w:iCs/>
        </w:rPr>
        <w:t>Ecology Letters</w:t>
      </w:r>
      <w:r>
        <w:t xml:space="preserve">, 19, 1429-1438. </w:t>
      </w:r>
      <w:hyperlink r:id="rId12">
        <w:r>
          <w:rPr>
            <w:rStyle w:val="Hyperlink"/>
          </w:rPr>
          <w:t>https://doi.org/10.1111/ele.12691</w:t>
        </w:r>
      </w:hyperlink>
    </w:p>
    <w:p w14:paraId="4DAE9A83" w14:textId="77777777" w:rsidR="001430F9" w:rsidRDefault="00000000">
      <w:pPr>
        <w:pStyle w:val="BodyText"/>
      </w:pPr>
      <w:r>
        <w:t xml:space="preserve">Crone, E.E. and Lesica, P. (2004) Causes of synchronous flowering in </w:t>
      </w:r>
      <w:r>
        <w:rPr>
          <w:i/>
          <w:iCs/>
        </w:rPr>
        <w:t>Astragalus scaphoides</w:t>
      </w:r>
      <w:r>
        <w:t xml:space="preserve">, an iteroparous perennial plant. </w:t>
      </w:r>
      <w:r>
        <w:rPr>
          <w:i/>
          <w:iCs/>
        </w:rPr>
        <w:t>Ecology</w:t>
      </w:r>
      <w:r>
        <w:t xml:space="preserve">, 85: 1944-1954. </w:t>
      </w:r>
      <w:hyperlink r:id="rId13">
        <w:r>
          <w:rPr>
            <w:rStyle w:val="Hyperlink"/>
          </w:rPr>
          <w:t>https://doi.org/10.1890/03-0256</w:t>
        </w:r>
      </w:hyperlink>
    </w:p>
    <w:p w14:paraId="3E6A63B0" w14:textId="77777777" w:rsidR="001430F9" w:rsidRDefault="00000000">
      <w:pPr>
        <w:pStyle w:val="BodyText"/>
      </w:pPr>
      <w:r>
        <w:lastRenderedPageBreak/>
        <w:t xml:space="preserve">Csergő, A. M., Salguero-Gómez, R., Broennimann, O., Coutts, S. R., Guisan, A., Angert, A. L., Welk, E., Stott, I., Enquist, B. J., McGill, B., Svenning, J. C., Violle, C., and Buckley, Y. M. (2017) Less favourable climates constrain demographic strategies in plants. </w:t>
      </w:r>
      <w:r>
        <w:rPr>
          <w:i/>
          <w:iCs/>
        </w:rPr>
        <w:t>Ecology Letters</w:t>
      </w:r>
      <w:r>
        <w:t xml:space="preserve">, 20, 969-980. </w:t>
      </w:r>
      <w:hyperlink r:id="rId14">
        <w:r>
          <w:rPr>
            <w:rStyle w:val="Hyperlink"/>
          </w:rPr>
          <w:t>https://doi.org/10.1111/ele.12794</w:t>
        </w:r>
      </w:hyperlink>
    </w:p>
    <w:p w14:paraId="127F3773" w14:textId="77777777" w:rsidR="001430F9" w:rsidRDefault="00000000">
      <w:pPr>
        <w:pStyle w:val="BodyText"/>
      </w:pPr>
      <w:r>
        <w:t xml:space="preserve">Daly, C., Halbleib, M., Smith, J. I., Gibson, W. P., Doggett, M. K., Taylor, G. H., Curtis, J., and Pasteris, P. A. (2008) Physiographically sensitive mapping of climatological temperature and precipitation across the conterminous United States. </w:t>
      </w:r>
      <w:r>
        <w:rPr>
          <w:i/>
          <w:iCs/>
        </w:rPr>
        <w:t>International Journal of Climatology</w:t>
      </w:r>
      <w:r>
        <w:t xml:space="preserve">, 28, 2031-2064. </w:t>
      </w:r>
      <w:hyperlink r:id="rId15">
        <w:r>
          <w:rPr>
            <w:rStyle w:val="Hyperlink"/>
          </w:rPr>
          <w:t>https://doi.org/10.1002/joc.1688</w:t>
        </w:r>
      </w:hyperlink>
    </w:p>
    <w:p w14:paraId="357EE875" w14:textId="77777777" w:rsidR="001430F9" w:rsidRDefault="00000000">
      <w:pPr>
        <w:pStyle w:val="BodyText"/>
      </w:pPr>
      <w:r>
        <w:t xml:space="preserve">de Magalhães, J. P., and Costa, J. (2009) A database of vertebrate longevity records and their relation to other life-history traits. </w:t>
      </w:r>
      <w:r>
        <w:rPr>
          <w:i/>
          <w:iCs/>
        </w:rPr>
        <w:t>Journal of Evolutionary Biology</w:t>
      </w:r>
      <w:r>
        <w:t xml:space="preserve">, 22, 1770-1774. </w:t>
      </w:r>
      <w:hyperlink r:id="rId16">
        <w:r>
          <w:rPr>
            <w:rStyle w:val="Hyperlink"/>
          </w:rPr>
          <w:t>https://doi.org/10.1111/j.1420-9101.2009.01783.x</w:t>
        </w:r>
      </w:hyperlink>
    </w:p>
    <w:p w14:paraId="60A89463" w14:textId="77777777" w:rsidR="001430F9" w:rsidRDefault="00000000">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w:t>
      </w:r>
      <w:r>
        <w:rPr>
          <w:i/>
          <w:iCs/>
        </w:rPr>
        <w:t>Ecology</w:t>
      </w:r>
      <w:r>
        <w:t xml:space="preserve">, 93, 951-951. </w:t>
      </w:r>
      <w:hyperlink r:id="rId17">
        <w:r>
          <w:rPr>
            <w:rStyle w:val="Hyperlink"/>
          </w:rPr>
          <w:t>https://doi.org/10.1890/11-1052.1</w:t>
        </w:r>
      </w:hyperlink>
    </w:p>
    <w:p w14:paraId="3E518989" w14:textId="77777777" w:rsidR="001430F9" w:rsidRDefault="00000000">
      <w:pPr>
        <w:pStyle w:val="BodyText"/>
      </w:pPr>
      <w:r>
        <w:t xml:space="preserve">Franco, M., and Silvertown, J. (1996) Life history variation in plants: an exploration of the fast-slow continuum hypothesis. </w:t>
      </w:r>
      <w:r>
        <w:rPr>
          <w:i/>
          <w:iCs/>
        </w:rPr>
        <w:t>Philosophical Transactions of the Royal Society of London B</w:t>
      </w:r>
      <w:r>
        <w:t xml:space="preserve">, 351, 1341-1348. </w:t>
      </w:r>
      <w:hyperlink r:id="rId18">
        <w:r>
          <w:rPr>
            <w:rStyle w:val="Hyperlink"/>
          </w:rPr>
          <w:t>https://doi.org/10.1098/rstb.1996.0117</w:t>
        </w:r>
      </w:hyperlink>
    </w:p>
    <w:p w14:paraId="59161201" w14:textId="77777777" w:rsidR="001430F9" w:rsidRDefault="00000000">
      <w:pPr>
        <w:pStyle w:val="BodyText"/>
      </w:pPr>
      <w:r>
        <w:t xml:space="preserve">Fristoe, T. S., Iwaniuk, A. N., and Botero, C. A. (2017) Big brains stabilize populations and facilitate colonization of variable habitats in birds. </w:t>
      </w:r>
      <w:r>
        <w:rPr>
          <w:i/>
          <w:iCs/>
        </w:rPr>
        <w:t>Nature Ecology &amp; Evolution</w:t>
      </w:r>
      <w:r>
        <w:t xml:space="preserve">, 1, 1706. </w:t>
      </w:r>
      <w:hyperlink r:id="rId19">
        <w:r>
          <w:rPr>
            <w:rStyle w:val="Hyperlink"/>
          </w:rPr>
          <w:t>https://doi.org/10.1038/s41559-017-0316-2</w:t>
        </w:r>
      </w:hyperlink>
    </w:p>
    <w:p w14:paraId="3EBD83E9" w14:textId="77777777" w:rsidR="001430F9" w:rsidRDefault="00000000">
      <w:pPr>
        <w:pStyle w:val="BodyText"/>
      </w:pPr>
      <w:r>
        <w:lastRenderedPageBreak/>
        <w:t xml:space="preserve">Garratt, M., Gaillard, J.-M., Brooks, R. C., and Lemaître, J.-F. (2013) Diversification of the eutherian placenta is associated with changes in the pace of life. </w:t>
      </w:r>
      <w:r>
        <w:rPr>
          <w:i/>
          <w:iCs/>
        </w:rPr>
        <w:t>Proceedings of the National Academy of Sciences</w:t>
      </w:r>
      <w:r>
        <w:t xml:space="preserve">, 110, 7760-7765. </w:t>
      </w:r>
      <w:hyperlink r:id="rId20">
        <w:r>
          <w:rPr>
            <w:rStyle w:val="Hyperlink"/>
          </w:rPr>
          <w:t>https://doi.org/10.1073/pnas.1305018110</w:t>
        </w:r>
      </w:hyperlink>
    </w:p>
    <w:p w14:paraId="077A496E" w14:textId="77777777" w:rsidR="001430F9" w:rsidRDefault="00000000">
      <w:pPr>
        <w:pStyle w:val="BodyText"/>
      </w:pPr>
      <w:r>
        <w:t xml:space="preserve">Healy, K., Guillerme, T., Finlay, S., Kane, A., Kelly, S. B. A., McClean, D., Kelly, D. J., Donohue, I., Jackson, A. L., and Cooper, N. (2014) Ecology and mode-of-life explain lifespan variation in birds and mammals. </w:t>
      </w:r>
      <w:r>
        <w:rPr>
          <w:i/>
          <w:iCs/>
        </w:rPr>
        <w:t>Proceedings of the Royal Society B: Biological Sciences</w:t>
      </w:r>
      <w:r>
        <w:t xml:space="preserve">, 281, 20140298. </w:t>
      </w:r>
      <w:hyperlink r:id="rId21">
        <w:r>
          <w:rPr>
            <w:rStyle w:val="Hyperlink"/>
          </w:rPr>
          <w:t>https://doi.org/10.1098/rspb.2014.0298</w:t>
        </w:r>
      </w:hyperlink>
    </w:p>
    <w:p w14:paraId="795FB4E2" w14:textId="77777777" w:rsidR="001430F9" w:rsidRDefault="00000000">
      <w:pPr>
        <w:pStyle w:val="BodyText"/>
      </w:pPr>
      <w:r>
        <w:t xml:space="preserve">Healy, K., Ezard, T. H. G., Jones, O. R., Salguero-Gómez, R., and Buckley, Y. M. (2019) Animal life history is shaped by the pace of life and the distribution of age-specific mortality and reproduction. </w:t>
      </w:r>
      <w:r>
        <w:rPr>
          <w:i/>
          <w:iCs/>
        </w:rPr>
        <w:t>Nature Ecology &amp; Evolution</w:t>
      </w:r>
      <w:r>
        <w:t xml:space="preserve">, 3, 1217-1224. </w:t>
      </w:r>
      <w:hyperlink r:id="rId22">
        <w:r>
          <w:rPr>
            <w:rStyle w:val="Hyperlink"/>
          </w:rPr>
          <w:t>https://doi.org/10.1038/s41559-019-0938-7</w:t>
        </w:r>
      </w:hyperlink>
    </w:p>
    <w:p w14:paraId="67AB3D95" w14:textId="77777777" w:rsidR="001430F9" w:rsidRDefault="00000000">
      <w:pPr>
        <w:pStyle w:val="BodyText"/>
      </w:pPr>
      <w:r>
        <w:t xml:space="preserve">Horvitz, C. C., and Tuljapurkar, S. (2008) Stage dynamics, period survival, and mortality plateaus. </w:t>
      </w:r>
      <w:r>
        <w:rPr>
          <w:i/>
          <w:iCs/>
        </w:rPr>
        <w:t>The American Naturalist</w:t>
      </w:r>
      <w:r>
        <w:t xml:space="preserve">, 172, 203-215. </w:t>
      </w:r>
      <w:hyperlink r:id="rId23">
        <w:r>
          <w:rPr>
            <w:rStyle w:val="Hyperlink"/>
          </w:rPr>
          <w:t>https://doi.org/10.1086/589453</w:t>
        </w:r>
      </w:hyperlink>
    </w:p>
    <w:p w14:paraId="2F666428" w14:textId="77777777" w:rsidR="001430F9" w:rsidRDefault="00000000">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w:t>
      </w:r>
      <w:r>
        <w:rPr>
          <w:i/>
          <w:iCs/>
        </w:rPr>
        <w:t>Ecology</w:t>
      </w:r>
      <w:r>
        <w:t xml:space="preserve">, 90, 2648-2648. </w:t>
      </w:r>
      <w:hyperlink r:id="rId24">
        <w:r>
          <w:rPr>
            <w:rStyle w:val="Hyperlink"/>
          </w:rPr>
          <w:t>https://doi.org/10.1890/08-1494.1</w:t>
        </w:r>
      </w:hyperlink>
    </w:p>
    <w:p w14:paraId="061D2302" w14:textId="77777777" w:rsidR="001430F9" w:rsidRDefault="00000000">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 </w:t>
      </w:r>
      <w:r>
        <w:rPr>
          <w:i/>
          <w:iCs/>
        </w:rPr>
        <w:t>Nature</w:t>
      </w:r>
      <w:r>
        <w:t xml:space="preserve">, 505, 169-173. </w:t>
      </w:r>
      <w:hyperlink r:id="rId25">
        <w:r>
          <w:rPr>
            <w:rStyle w:val="Hyperlink"/>
          </w:rPr>
          <w:t>https://doi.org/10.1038/nature12789</w:t>
        </w:r>
      </w:hyperlink>
    </w:p>
    <w:p w14:paraId="26D4BA5A" w14:textId="77777777" w:rsidR="001430F9" w:rsidRDefault="00000000">
      <w:pPr>
        <w:pStyle w:val="BodyText"/>
      </w:pPr>
      <w:r>
        <w:lastRenderedPageBreak/>
        <w:t xml:space="preserve">Kendall, B. E. (1998) Estimating the magnitude of environmental stochasticity in survivorship data. </w:t>
      </w:r>
      <w:r>
        <w:rPr>
          <w:i/>
          <w:iCs/>
        </w:rPr>
        <w:t>Ecological Applications</w:t>
      </w:r>
      <w:r>
        <w:t xml:space="preserve">, 8, 184-193. </w:t>
      </w:r>
      <w:hyperlink r:id="rId26">
        <w:r>
          <w:rPr>
            <w:rStyle w:val="Hyperlink"/>
          </w:rPr>
          <w:t>https://doi.org/10.1890/1051-0761(1998)008[0184:ETMOES]2.0.CO;2</w:t>
        </w:r>
      </w:hyperlink>
    </w:p>
    <w:p w14:paraId="49FDD221" w14:textId="77777777" w:rsidR="001430F9" w:rsidRDefault="00000000">
      <w:pPr>
        <w:pStyle w:val="BodyText"/>
      </w:pPr>
      <w:r>
        <w:t xml:space="preserve">Kendall, B. E., and Fox, G. A. (2002) Variation among individuals and reduced demographic stochasticity. </w:t>
      </w:r>
      <w:r>
        <w:rPr>
          <w:i/>
          <w:iCs/>
        </w:rPr>
        <w:t>Conservation Biology</w:t>
      </w:r>
      <w:r>
        <w:t xml:space="preserve">, 16, 109-116. </w:t>
      </w:r>
      <w:hyperlink r:id="rId27">
        <w:r>
          <w:rPr>
            <w:rStyle w:val="Hyperlink"/>
          </w:rPr>
          <w:t>https://doi.org/10.1046/j.1523-1739.2002.00036.x</w:t>
        </w:r>
      </w:hyperlink>
    </w:p>
    <w:p w14:paraId="2973281D" w14:textId="77777777" w:rsidR="001430F9" w:rsidRDefault="00000000">
      <w:pPr>
        <w:pStyle w:val="BodyText"/>
      </w:pPr>
      <w:r>
        <w:t xml:space="preserve">Kiviniemi, K. (2002) Population dynamics of </w:t>
      </w:r>
      <w:r>
        <w:rPr>
          <w:i/>
          <w:iCs/>
        </w:rPr>
        <w:t>Agrimonia eupatoria</w:t>
      </w:r>
      <w:r>
        <w:t xml:space="preserve"> and </w:t>
      </w:r>
      <w:r>
        <w:rPr>
          <w:i/>
          <w:iCs/>
        </w:rPr>
        <w:t>Geum rivale</w:t>
      </w:r>
      <w:r>
        <w:t xml:space="preserve">, two perennial grassland species. </w:t>
      </w:r>
      <w:r>
        <w:rPr>
          <w:i/>
          <w:iCs/>
        </w:rPr>
        <w:t>Plant Ecology</w:t>
      </w:r>
      <w:r>
        <w:t xml:space="preserve">, 159, 153-169. </w:t>
      </w:r>
      <w:hyperlink r:id="rId28">
        <w:r>
          <w:rPr>
            <w:rStyle w:val="Hyperlink"/>
          </w:rPr>
          <w:t>https://doi.org/10.1023/A:1015506019670</w:t>
        </w:r>
      </w:hyperlink>
    </w:p>
    <w:p w14:paraId="41D69822" w14:textId="77777777" w:rsidR="001430F9" w:rsidRDefault="00000000">
      <w:pPr>
        <w:pStyle w:val="BodyText"/>
      </w:pPr>
      <w:r>
        <w:t xml:space="preserve">Lesica, P., and Crone, E. E. (2007) Causes and consequences of prolonged dormancy for an iteroparous geophyte, </w:t>
      </w:r>
      <w:r>
        <w:rPr>
          <w:i/>
          <w:iCs/>
        </w:rPr>
        <w:t>Silene spaldingii</w:t>
      </w:r>
      <w:r>
        <w:t xml:space="preserve">. </w:t>
      </w:r>
      <w:r>
        <w:rPr>
          <w:i/>
          <w:iCs/>
        </w:rPr>
        <w:t>Journal of Ecology</w:t>
      </w:r>
      <w:r>
        <w:t xml:space="preserve">, 95, 1360-1369. </w:t>
      </w:r>
      <w:hyperlink r:id="rId29">
        <w:r>
          <w:rPr>
            <w:rStyle w:val="Hyperlink"/>
          </w:rPr>
          <w:t>https://doi.org/10.1111/j.1365-2745.2007.01291.x</w:t>
        </w:r>
      </w:hyperlink>
    </w:p>
    <w:p w14:paraId="609721A6" w14:textId="77777777" w:rsidR="001430F9" w:rsidRDefault="00000000">
      <w:pPr>
        <w:pStyle w:val="BodyText"/>
      </w:pPr>
      <w:r>
        <w:t xml:space="preserve">McDonald, J. L., Franco, M., Townley, S., Ezard, T. H., Jelbert, K., and Hodgson, D. J. (2017) Divergent demographic strategies of plants in variable environments. </w:t>
      </w:r>
      <w:r>
        <w:rPr>
          <w:i/>
          <w:iCs/>
        </w:rPr>
        <w:t>Nature Ecology &amp; Evolution</w:t>
      </w:r>
      <w:r>
        <w:t xml:space="preserve">, 1, 0029. </w:t>
      </w:r>
      <w:hyperlink r:id="rId30">
        <w:r>
          <w:rPr>
            <w:rStyle w:val="Hyperlink"/>
          </w:rPr>
          <w:t>https://doi.org/10.1038/s41559-016-0029</w:t>
        </w:r>
      </w:hyperlink>
    </w:p>
    <w:p w14:paraId="20F2BA38" w14:textId="77777777" w:rsidR="001430F9" w:rsidRDefault="00000000">
      <w:pPr>
        <w:pStyle w:val="BodyText"/>
      </w:pPr>
      <w:r>
        <w:t xml:space="preserve">McElreath, R. (2020) Statistical rethinking: A Bayesian course with examples in R and Stan, 2nd ed. Chapman and Hall/CRC. </w:t>
      </w:r>
      <w:hyperlink r:id="rId31">
        <w:r>
          <w:rPr>
            <w:rStyle w:val="Hyperlink"/>
          </w:rPr>
          <w:t>https://doi.org/10.1201/9780429029608</w:t>
        </w:r>
      </w:hyperlink>
    </w:p>
    <w:p w14:paraId="1ADEB2D0" w14:textId="77777777" w:rsidR="001430F9" w:rsidRDefault="00000000">
      <w:pPr>
        <w:pStyle w:val="BodyText"/>
      </w:pPr>
      <w:r>
        <w:t xml:space="preserve">McGowan, C. P., Runge, M. C., and Larson, M. A. (2011) Incorporating parametric uncertainty into population viability analysis models. </w:t>
      </w:r>
      <w:r>
        <w:rPr>
          <w:i/>
          <w:iCs/>
        </w:rPr>
        <w:t>Biological Conservation</w:t>
      </w:r>
      <w:r>
        <w:t xml:space="preserve">, 144, 1400-1408. </w:t>
      </w:r>
      <w:hyperlink r:id="rId32">
        <w:r>
          <w:rPr>
            <w:rStyle w:val="Hyperlink"/>
          </w:rPr>
          <w:t>https://doi.org/10.1016/j.biocon.2011.01.005</w:t>
        </w:r>
      </w:hyperlink>
    </w:p>
    <w:p w14:paraId="6C7E9F70" w14:textId="77777777" w:rsidR="001430F9" w:rsidRDefault="00000000">
      <w:pPr>
        <w:pStyle w:val="BodyText"/>
      </w:pPr>
      <w:r>
        <w:t xml:space="preserve">Myhrvold, N. P., Baldridge, E., Chan, B., Sivam, D., Freeman, D. L., and Ernest, S. M. (2015) An amniote life-history database to perform comparative analyses with birds, mammals, and reptiles. </w:t>
      </w:r>
      <w:r>
        <w:rPr>
          <w:i/>
          <w:iCs/>
        </w:rPr>
        <w:t>Ecology</w:t>
      </w:r>
      <w:r>
        <w:t xml:space="preserve">, 96, 3109-3109. </w:t>
      </w:r>
      <w:hyperlink r:id="rId33">
        <w:r>
          <w:rPr>
            <w:rStyle w:val="Hyperlink"/>
          </w:rPr>
          <w:t>https://doi.org/10.1890/15-0846R.1</w:t>
        </w:r>
      </w:hyperlink>
    </w:p>
    <w:p w14:paraId="50B78FA3" w14:textId="77777777" w:rsidR="001430F9" w:rsidRDefault="00000000">
      <w:pPr>
        <w:pStyle w:val="BodyText"/>
      </w:pPr>
      <w:r>
        <w:t xml:space="preserve">PRISM Group, Oregon State University (2026) PRISM Climate Data. </w:t>
      </w:r>
      <w:hyperlink r:id="rId34">
        <w:r>
          <w:rPr>
            <w:rStyle w:val="Hyperlink"/>
          </w:rPr>
          <w:t>https://prism.oregonstate.edu</w:t>
        </w:r>
      </w:hyperlink>
      <w:r>
        <w:t>. Data created 04 Feb 2026, accessed 28 Feb 2026.</w:t>
      </w:r>
    </w:p>
    <w:p w14:paraId="2D0E351C" w14:textId="77777777" w:rsidR="001430F9" w:rsidRDefault="00000000">
      <w:pPr>
        <w:pStyle w:val="BodyText"/>
      </w:pPr>
      <w:r>
        <w:lastRenderedPageBreak/>
        <w:t xml:space="preserve">Römer, G., Dahlgren, J. P., Salguero-Gómez, R., Stott, I. M., and Jones, O. R. (2024) Plant demographic knowledge is biased towards short-term studies of temperate-region herbaceous perennials. </w:t>
      </w:r>
      <w:r>
        <w:rPr>
          <w:i/>
          <w:iCs/>
        </w:rPr>
        <w:t>Oikos</w:t>
      </w:r>
      <w:r>
        <w:t xml:space="preserve">, 2024, e10250. </w:t>
      </w:r>
      <w:hyperlink r:id="rId35">
        <w:r>
          <w:rPr>
            <w:rStyle w:val="Hyperlink"/>
          </w:rPr>
          <w:t>https://doi.org/10.1111/oik.10250</w:t>
        </w:r>
      </w:hyperlink>
    </w:p>
    <w:p w14:paraId="1518454C" w14:textId="77777777" w:rsidR="001430F9" w:rsidRDefault="00000000">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 </w:t>
      </w:r>
      <w:r>
        <w:rPr>
          <w:i/>
          <w:iCs/>
        </w:rPr>
        <w:t>Journal of Ecology</w:t>
      </w:r>
      <w:r>
        <w:t xml:space="preserve">, 103, 202-218. </w:t>
      </w:r>
      <w:hyperlink r:id="rId36">
        <w:r>
          <w:rPr>
            <w:rStyle w:val="Hyperlink"/>
          </w:rPr>
          <w:t>https://doi.org/10.1111/1365-2745.12334</w:t>
        </w:r>
      </w:hyperlink>
    </w:p>
    <w:p w14:paraId="5F272B15" w14:textId="77777777" w:rsidR="001430F9" w:rsidRDefault="00000000">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w:t>
      </w:r>
      <w:r>
        <w:rPr>
          <w:i/>
          <w:iCs/>
        </w:rPr>
        <w:t>Journal of Animal Ecology</w:t>
      </w:r>
      <w:r>
        <w:t xml:space="preserve">, 85, 371-384. </w:t>
      </w:r>
      <w:hyperlink r:id="rId37">
        <w:r>
          <w:rPr>
            <w:rStyle w:val="Hyperlink"/>
          </w:rPr>
          <w:t>https://doi.org/10.1111/1365-2656.12482</w:t>
        </w:r>
      </w:hyperlink>
    </w:p>
    <w:p w14:paraId="7CACA07D" w14:textId="77777777" w:rsidR="001430F9" w:rsidRDefault="00000000">
      <w:pPr>
        <w:pStyle w:val="BodyText"/>
      </w:pPr>
      <w:r>
        <w:t xml:space="preserve">Salguero-Gómez, R., Jones, O. R., Jongejans, E., Blomberg, S. P., Hodgson, D. J., Mbeau-Ache, C., Zuidema, P. A., de Kroon, H., and Buckley, Y. M. (2016b) Fast–slow continuum and reproductive strategies structure plant life-history variation worldwide. </w:t>
      </w:r>
      <w:r>
        <w:rPr>
          <w:i/>
          <w:iCs/>
        </w:rPr>
        <w:t>Proceedings of the National Academy of Sciences</w:t>
      </w:r>
      <w:r>
        <w:t xml:space="preserve">, 113, 230-235. </w:t>
      </w:r>
      <w:hyperlink r:id="rId38">
        <w:r>
          <w:rPr>
            <w:rStyle w:val="Hyperlink"/>
          </w:rPr>
          <w:t>https://doi.org/10.1073/pnas.1506215112</w:t>
        </w:r>
      </w:hyperlink>
    </w:p>
    <w:p w14:paraId="0595CFC7" w14:textId="77777777" w:rsidR="001430F9" w:rsidRDefault="00000000">
      <w:pPr>
        <w:pStyle w:val="BodyText"/>
      </w:pPr>
      <w:r>
        <w:t xml:space="preserve">Baudisch, A., and Stott, I. (2019) A pace and shape perspective on fertility. </w:t>
      </w:r>
      <w:r>
        <w:rPr>
          <w:i/>
          <w:iCs/>
        </w:rPr>
        <w:t>Methods in Ecology and Evolution</w:t>
      </w:r>
      <w:r>
        <w:t xml:space="preserve">, 10, 1941-1951. </w:t>
      </w:r>
      <w:hyperlink r:id="rId39">
        <w:r>
          <w:rPr>
            <w:rStyle w:val="Hyperlink"/>
          </w:rPr>
          <w:t>https://doi.org/10.1111/2041-210X.13289</w:t>
        </w:r>
      </w:hyperlink>
    </w:p>
    <w:p w14:paraId="5F50BC37" w14:textId="77777777" w:rsidR="001430F9" w:rsidRDefault="00000000">
      <w:pPr>
        <w:pStyle w:val="BodyText"/>
      </w:pPr>
      <w:r>
        <w:lastRenderedPageBreak/>
        <w:t xml:space="preserve">Carpenter, B., Gelman, A., Hoffman, M. D., Lee, D., Goodrich, B., Betancourt, M., Brubaker, M., Guo, J., Li, P., and Riddell, A. (2017) Stan: A probabilistic programming language. </w:t>
      </w:r>
      <w:r>
        <w:rPr>
          <w:i/>
          <w:iCs/>
        </w:rPr>
        <w:t>Journal of Statistical Software</w:t>
      </w:r>
      <w:r>
        <w:t xml:space="preserve">, 76, 1-32. </w:t>
      </w:r>
      <w:hyperlink r:id="rId40">
        <w:r>
          <w:rPr>
            <w:rStyle w:val="Hyperlink"/>
          </w:rPr>
          <w:t>https://doi.org/10.18637/jss.v076.i01</w:t>
        </w:r>
      </w:hyperlink>
    </w:p>
    <w:p w14:paraId="3751694A" w14:textId="77777777" w:rsidR="001430F9" w:rsidRDefault="00000000">
      <w:pPr>
        <w:pStyle w:val="BodyText"/>
      </w:pPr>
      <w:r>
        <w:t xml:space="preserve">Simmonds, E. G., and Jones, O. R. (2024) Uncertainty propagation in matrix population models: gaps, importance and guidelines. </w:t>
      </w:r>
      <w:r>
        <w:rPr>
          <w:i/>
          <w:iCs/>
        </w:rPr>
        <w:t>Methods in Ecology and Evolution</w:t>
      </w:r>
      <w:r>
        <w:t xml:space="preserve">, 15, 427-438. </w:t>
      </w:r>
      <w:hyperlink r:id="rId41">
        <w:r>
          <w:rPr>
            <w:rStyle w:val="Hyperlink"/>
          </w:rPr>
          <w:t>https://doi.org/10.1111/2041-210X.14276</w:t>
        </w:r>
      </w:hyperlink>
    </w:p>
    <w:p w14:paraId="49411785" w14:textId="77777777" w:rsidR="001430F9" w:rsidRDefault="00000000">
      <w:pPr>
        <w:pStyle w:val="BodyText"/>
      </w:pPr>
      <w:r>
        <w:t xml:space="preserve">Stan Development Team (2025) RStan: the R interface to Stan. R package version 2.32.7. </w:t>
      </w:r>
      <w:hyperlink r:id="rId42">
        <w:r>
          <w:rPr>
            <w:rStyle w:val="Hyperlink"/>
          </w:rPr>
          <w:t>https://mc-stan.org/</w:t>
        </w:r>
      </w:hyperlink>
      <w:r>
        <w:t xml:space="preserve"> </w:t>
      </w:r>
      <w:hyperlink r:id="rId43">
        <w:r>
          <w:rPr>
            <w:rStyle w:val="Hyperlink"/>
          </w:rPr>
          <w:t>https://doi.org/10.32614/CRAN.package.rstan</w:t>
        </w:r>
      </w:hyperlink>
    </w:p>
    <w:p w14:paraId="613028C6" w14:textId="77777777" w:rsidR="001430F9" w:rsidRDefault="00000000">
      <w:pPr>
        <w:pStyle w:val="BodyText"/>
      </w:pPr>
      <w:r>
        <w:t xml:space="preserve">Teller, B. J., Adler, P. B., Edwards, C. B., Hooker, G., and Ellner, S. P. (2016) Linking demography with drivers: climate and competition. </w:t>
      </w:r>
      <w:r>
        <w:rPr>
          <w:i/>
          <w:iCs/>
        </w:rPr>
        <w:t>Methods in Ecology and Evolution</w:t>
      </w:r>
      <w:r>
        <w:t xml:space="preserve">, 7, 171-183. </w:t>
      </w:r>
      <w:hyperlink r:id="rId44">
        <w:r>
          <w:rPr>
            <w:rStyle w:val="Hyperlink"/>
          </w:rPr>
          <w:t>https://doi.org/10.1111/2041-210X.12486</w:t>
        </w:r>
      </w:hyperlink>
    </w:p>
    <w:p w14:paraId="0F991D82" w14:textId="77777777" w:rsidR="001430F9" w:rsidRDefault="00000000">
      <w:pPr>
        <w:pStyle w:val="BodyText"/>
      </w:pPr>
      <w:r>
        <w:t xml:space="preserve">Wrycza, T. F., Missov, T. I., and Baudisch, A. (2015) Quantifying the shape of aging. </w:t>
      </w:r>
      <w:r>
        <w:rPr>
          <w:i/>
          <w:iCs/>
        </w:rPr>
        <w:t>PLOS ONE</w:t>
      </w:r>
      <w:r>
        <w:t xml:space="preserve">, 10, e0119163. </w:t>
      </w:r>
      <w:hyperlink r:id="rId45">
        <w:r>
          <w:rPr>
            <w:rStyle w:val="Hyperlink"/>
          </w:rPr>
          <w:t>https://doi.org/10.1371/journal.pone.0119163</w:t>
        </w:r>
      </w:hyperlink>
    </w:p>
    <w:p w14:paraId="000DB516" w14:textId="77777777" w:rsidR="001430F9" w:rsidRDefault="00000000">
      <w:r>
        <w:br w:type="page"/>
      </w:r>
    </w:p>
    <w:p w14:paraId="28E8AA97" w14:textId="77777777" w:rsidR="001430F9" w:rsidRDefault="00000000">
      <w:pPr>
        <w:pStyle w:val="Heading1"/>
      </w:pPr>
      <w:bookmarkStart w:id="29" w:name="tables"/>
      <w:bookmarkEnd w:id="28"/>
      <w:r>
        <w:lastRenderedPageBreak/>
        <w:t>Tables</w:t>
      </w:r>
    </w:p>
    <w:p w14:paraId="00E53309" w14:textId="77777777" w:rsidR="001430F9" w:rsidRDefault="00000000">
      <w:pPr>
        <w:pStyle w:val="TableCaption"/>
      </w:pPr>
      <w:bookmarkStart w:id="30" w:name="tab:table-case1-var"/>
      <w:bookmarkEnd w:id="30"/>
      <w:r>
        <w:t>Table 1: Across-entry variance ratios for key demographic parameters in Analysis 1, with 95% intervals from paired bootstrap resampling of population-level entries. Each ratio is the variance of matrix point estimates divided by the variance of reconstructed posterior means across the same entries; values above 1 indicate that point estimates are more spread out than posterior means, not how much of that spread is due to sampling noise rather than genuine biological differences. The ratio is highest for shape, intermediate for life expectancy, and lowest for log population growth rate.</w:t>
      </w:r>
    </w:p>
    <w:tbl>
      <w:tblPr>
        <w:tblW w:w="0" w:type="auto"/>
        <w:jc w:val="center"/>
        <w:tblLayout w:type="fixed"/>
        <w:tblLook w:val="0420" w:firstRow="1" w:lastRow="0" w:firstColumn="0" w:lastColumn="0" w:noHBand="0" w:noVBand="1"/>
      </w:tblPr>
      <w:tblGrid>
        <w:gridCol w:w="3431"/>
        <w:gridCol w:w="1768"/>
        <w:gridCol w:w="1621"/>
      </w:tblGrid>
      <w:tr w:rsidR="001430F9" w14:paraId="3915A47B" w14:textId="77777777">
        <w:trPr>
          <w:tblHeader/>
          <w:jc w:val="center"/>
        </w:trPr>
        <w:tc>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388A7"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E6B32"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Variance ratio</w:t>
            </w:r>
          </w:p>
        </w:tc>
        <w:tc>
          <w:tcPr>
            <w:tcW w:w="16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36490"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95% interval</w:t>
            </w:r>
          </w:p>
        </w:tc>
      </w:tr>
      <w:tr w:rsidR="001430F9" w14:paraId="3BC85B6A" w14:textId="77777777">
        <w:trPr>
          <w:jc w:val="center"/>
        </w:trPr>
        <w:tc>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3D70E"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Shape</w:t>
            </w:r>
          </w:p>
        </w:tc>
        <w:tc>
          <w:tcPr>
            <w:tcW w:w="1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DFBCB"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3.31</w:t>
            </w:r>
          </w:p>
        </w:tc>
        <w:tc>
          <w:tcPr>
            <w:tcW w:w="16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16E11"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[2.26, 5.06]</w:t>
            </w:r>
          </w:p>
        </w:tc>
      </w:tr>
      <w:tr w:rsidR="001430F9" w14:paraId="39664F03"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7D82A"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C70E3"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3A60E"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[1.48, 2.55]</w:t>
            </w:r>
          </w:p>
        </w:tc>
      </w:tr>
      <w:tr w:rsidR="001430F9" w14:paraId="4E7924D6"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1FD88"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Log population growth rate</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82345"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DF83D"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[0.99, 1.15]</w:t>
            </w:r>
          </w:p>
        </w:tc>
      </w:tr>
      <w:tr w:rsidR="001430F9" w14:paraId="496FD7C2"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6F611"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AB93B"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B1C0"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 1.29]</w:t>
            </w:r>
          </w:p>
        </w:tc>
      </w:tr>
      <w:tr w:rsidR="001430F9" w14:paraId="709B5664"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5127A"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2CCD4"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8BA2E"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[1.20, 2.22]</w:t>
            </w:r>
          </w:p>
        </w:tc>
      </w:tr>
      <w:tr w:rsidR="001430F9" w14:paraId="21AB6B98" w14:textId="77777777">
        <w:trPr>
          <w:jc w:val="center"/>
        </w:trPr>
        <w:tc>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E38CF"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Probability of reaching maturity</w:t>
            </w:r>
          </w:p>
        </w:tc>
        <w:tc>
          <w:tcPr>
            <w:tcW w:w="1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6280D"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w:t>
            </w:r>
          </w:p>
        </w:tc>
        <w:tc>
          <w:tcPr>
            <w:tcW w:w="16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9B662B"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[1.08, 2.59]</w:t>
            </w:r>
          </w:p>
        </w:tc>
      </w:tr>
    </w:tbl>
    <w:p w14:paraId="484B763E" w14:textId="77777777" w:rsidR="001430F9" w:rsidRDefault="00000000">
      <w:r>
        <w:br w:type="page"/>
      </w:r>
    </w:p>
    <w:p w14:paraId="12040211" w14:textId="77777777" w:rsidR="001430F9" w:rsidRDefault="00000000">
      <w:pPr>
        <w:pStyle w:val="Heading1"/>
      </w:pPr>
      <w:bookmarkStart w:id="31" w:name="figures"/>
      <w:bookmarkEnd w:id="29"/>
      <w:r>
        <w:lastRenderedPageBreak/>
        <w:t>Figures</w:t>
      </w:r>
    </w:p>
    <w:p w14:paraId="3ECFFBFA" w14:textId="77777777" w:rsidR="001430F9" w:rsidRDefault="00000000">
      <w:pPr>
        <w:pStyle w:val="CaptionedFigure"/>
      </w:pPr>
      <w:r>
        <w:rPr>
          <w:noProof/>
        </w:rPr>
        <w:drawing>
          <wp:inline distT="0" distB="0" distL="0" distR="0" wp14:anchorId="5616D30F" wp14:editId="44ABCAA1">
            <wp:extent cx="5727700" cy="1908334"/>
            <wp:effectExtent l="0" t="0" r="0" b="0"/>
            <wp:docPr id="93" name="Picture" descr="Figure 1: Sampling distributions of transition rates for the focal single-MPM example (Agrimonia eupatoria,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94" name="Picture" descr="sampling_uncertainty_mpm_main_files/b2aba0db56ecc9ec329c1fce4627fa03b466ca53.png"/>
                    <pic:cNvPicPr>
                      <a:picLocks noChangeAspect="1" noChangeArrowheads="1"/>
                    </pic:cNvPicPr>
                  </pic:nvPicPr>
                  <pic:blipFill>
                    <a:blip r:embed="rId46"/>
                    <a:stretch>
                      <a:fillRect/>
                    </a:stretch>
                  </pic:blipFill>
                  <pic:spPr bwMode="auto">
                    <a:xfrm>
                      <a:off x="0" y="0"/>
                      <a:ext cx="5727700" cy="1908334"/>
                    </a:xfrm>
                    <a:prstGeom prst="rect">
                      <a:avLst/>
                    </a:prstGeom>
                    <a:noFill/>
                    <a:ln w="9525">
                      <a:noFill/>
                      <a:headEnd/>
                      <a:tailEnd/>
                    </a:ln>
                  </pic:spPr>
                </pic:pic>
              </a:graphicData>
            </a:graphic>
          </wp:inline>
        </w:drawing>
      </w:r>
    </w:p>
    <w:p w14:paraId="4C026955" w14:textId="77777777" w:rsidR="001430F9" w:rsidRDefault="00000000">
      <w:pPr>
        <w:pStyle w:val="ImageCaption"/>
      </w:pPr>
      <w:bookmarkStart w:id="32" w:name="fig:fig-main-1a"/>
      <w:bookmarkEnd w:id="32"/>
      <w:r>
        <w:t>Figure 1: Sampling distributions of transition rates for the focal single-MPM example (</w:t>
      </w:r>
      <w:r>
        <w:rPr>
          <w:iCs/>
        </w:rPr>
        <w:t>Agrimonia eupatoria</w:t>
      </w:r>
      <w:r>
        <w:t>,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w:t>
      </w:r>
    </w:p>
    <w:p w14:paraId="138FAE9C" w14:textId="77777777" w:rsidR="001430F9" w:rsidRDefault="00000000">
      <w:r>
        <w:br w:type="page"/>
      </w:r>
    </w:p>
    <w:p w14:paraId="0A2A4A27" w14:textId="77777777" w:rsidR="001430F9" w:rsidRDefault="00000000">
      <w:pPr>
        <w:pStyle w:val="CaptionedFigure"/>
      </w:pPr>
      <w:r>
        <w:rPr>
          <w:noProof/>
        </w:rPr>
        <w:lastRenderedPageBreak/>
        <w:drawing>
          <wp:inline distT="0" distB="0" distL="0" distR="0" wp14:anchorId="0D8956B6" wp14:editId="68D03DE2">
            <wp:extent cx="5727700" cy="2355769"/>
            <wp:effectExtent l="0" t="0" r="0" b="0"/>
            <wp:docPr id="97" name="Picture" descr="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98" name="Picture" descr="sampling_uncertainty_mpm_main_files/0d4d790f4c43f8144c7f28ee99151a38ae6a0687.png"/>
                    <pic:cNvPicPr>
                      <a:picLocks noChangeAspect="1" noChangeArrowheads="1"/>
                    </pic:cNvPicPr>
                  </pic:nvPicPr>
                  <pic:blipFill>
                    <a:blip r:embed="rId47"/>
                    <a:stretch>
                      <a:fillRect/>
                    </a:stretch>
                  </pic:blipFill>
                  <pic:spPr bwMode="auto">
                    <a:xfrm>
                      <a:off x="0" y="0"/>
                      <a:ext cx="5727700" cy="2355769"/>
                    </a:xfrm>
                    <a:prstGeom prst="rect">
                      <a:avLst/>
                    </a:prstGeom>
                    <a:noFill/>
                    <a:ln w="9525">
                      <a:noFill/>
                      <a:headEnd/>
                      <a:tailEnd/>
                    </a:ln>
                  </pic:spPr>
                </pic:pic>
              </a:graphicData>
            </a:graphic>
          </wp:inline>
        </w:drawing>
      </w:r>
    </w:p>
    <w:p w14:paraId="136B657B" w14:textId="77777777" w:rsidR="001430F9" w:rsidRDefault="00000000">
      <w:pPr>
        <w:pStyle w:val="ImageCaption"/>
      </w:pPr>
      <w:bookmarkStart w:id="33" w:name="fig:fig-main-1b"/>
      <w:bookmarkEnd w:id="33"/>
      <w:r>
        <w:t>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w:t>
      </w:r>
    </w:p>
    <w:p w14:paraId="1A20D2B6" w14:textId="77777777" w:rsidR="001430F9" w:rsidRDefault="00000000">
      <w:r>
        <w:br w:type="page"/>
      </w:r>
    </w:p>
    <w:p w14:paraId="78405E57" w14:textId="77777777" w:rsidR="001430F9" w:rsidRDefault="00000000">
      <w:pPr>
        <w:pStyle w:val="CaptionedFigure"/>
      </w:pPr>
      <w:r>
        <w:rPr>
          <w:noProof/>
        </w:rPr>
        <w:lastRenderedPageBreak/>
        <w:drawing>
          <wp:inline distT="0" distB="0" distL="0" distR="0" wp14:anchorId="17E30908" wp14:editId="7BDE2A08">
            <wp:extent cx="3247802" cy="4440497"/>
            <wp:effectExtent l="0" t="0" r="0" b="0"/>
            <wp:docPr id="101" name="Picture"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102" name="Picture" descr="sampling_uncertainty_mpm_main_files/1d97de92535eeb793298a583ba95629e1012f164.png"/>
                    <pic:cNvPicPr>
                      <a:picLocks noChangeAspect="1" noChangeArrowheads="1"/>
                    </pic:cNvPicPr>
                  </pic:nvPicPr>
                  <pic:blipFill>
                    <a:blip r:embed="rId48"/>
                    <a:stretch>
                      <a:fillRect/>
                    </a:stretch>
                  </pic:blipFill>
                  <pic:spPr bwMode="auto">
                    <a:xfrm>
                      <a:off x="0" y="0"/>
                      <a:ext cx="3247802" cy="4440497"/>
                    </a:xfrm>
                    <a:prstGeom prst="rect">
                      <a:avLst/>
                    </a:prstGeom>
                    <a:noFill/>
                    <a:ln w="9525">
                      <a:noFill/>
                      <a:headEnd/>
                      <a:tailEnd/>
                    </a:ln>
                  </pic:spPr>
                </pic:pic>
              </a:graphicData>
            </a:graphic>
          </wp:inline>
        </w:drawing>
      </w:r>
    </w:p>
    <w:p w14:paraId="587021B8" w14:textId="77777777" w:rsidR="001430F9" w:rsidRDefault="00000000">
      <w:pPr>
        <w:pStyle w:val="ImageCaption"/>
      </w:pPr>
      <w:bookmarkStart w:id="34" w:name="fig:fig-main-2"/>
      <w:bookmarkEnd w:id="34"/>
      <w:r>
        <w:t>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w:t>
      </w:r>
    </w:p>
    <w:p w14:paraId="60CA8242" w14:textId="77777777" w:rsidR="001430F9" w:rsidRDefault="00000000">
      <w:r>
        <w:br w:type="page"/>
      </w:r>
    </w:p>
    <w:p w14:paraId="53F405D4" w14:textId="77777777" w:rsidR="001430F9" w:rsidRDefault="00000000">
      <w:pPr>
        <w:pStyle w:val="CaptionedFigure"/>
      </w:pPr>
      <w:r>
        <w:rPr>
          <w:noProof/>
        </w:rPr>
        <w:lastRenderedPageBreak/>
        <w:drawing>
          <wp:inline distT="0" distB="0" distL="0" distR="0" wp14:anchorId="14FF629B" wp14:editId="247684CA">
            <wp:extent cx="5727700" cy="2832853"/>
            <wp:effectExtent l="0" t="0" r="0" b="0"/>
            <wp:docPr id="105" name="Picture" descr="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2.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wp:cNvGraphicFramePr/>
            <a:graphic xmlns:a="http://schemas.openxmlformats.org/drawingml/2006/main">
              <a:graphicData uri="http://schemas.openxmlformats.org/drawingml/2006/picture">
                <pic:pic xmlns:pic="http://schemas.openxmlformats.org/drawingml/2006/picture">
                  <pic:nvPicPr>
                    <pic:cNvPr id="106" name="Picture" descr="sampling_uncertainty_mpm_main_files/7c9ac97e04e15033da8eb02c12609c6ff06b67c9.png"/>
                    <pic:cNvPicPr>
                      <a:picLocks noChangeAspect="1" noChangeArrowheads="1"/>
                    </pic:cNvPicPr>
                  </pic:nvPicPr>
                  <pic:blipFill>
                    <a:blip r:embed="rId49"/>
                    <a:stretch>
                      <a:fillRect/>
                    </a:stretch>
                  </pic:blipFill>
                  <pic:spPr bwMode="auto">
                    <a:xfrm>
                      <a:off x="0" y="0"/>
                      <a:ext cx="5727700" cy="2832853"/>
                    </a:xfrm>
                    <a:prstGeom prst="rect">
                      <a:avLst/>
                    </a:prstGeom>
                    <a:noFill/>
                    <a:ln w="9525">
                      <a:noFill/>
                      <a:headEnd/>
                      <a:tailEnd/>
                    </a:ln>
                  </pic:spPr>
                </pic:pic>
              </a:graphicData>
            </a:graphic>
          </wp:inline>
        </w:drawing>
      </w:r>
    </w:p>
    <w:p w14:paraId="5390666A" w14:textId="77777777" w:rsidR="001430F9" w:rsidRDefault="00000000">
      <w:pPr>
        <w:pStyle w:val="ImageCaption"/>
      </w:pPr>
      <w:bookmarkStart w:id="35" w:name="fig:fig-main-3"/>
      <w:bookmarkEnd w:id="35"/>
      <w:r>
        <w:t>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2.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w:t>
      </w:r>
    </w:p>
    <w:p w14:paraId="65B5C686" w14:textId="77777777" w:rsidR="001430F9" w:rsidRDefault="00000000">
      <w:r>
        <w:br w:type="page"/>
      </w:r>
    </w:p>
    <w:p w14:paraId="098DF09A" w14:textId="77777777" w:rsidR="001430F9" w:rsidRDefault="00000000">
      <w:pPr>
        <w:pStyle w:val="CaptionedFigure"/>
      </w:pPr>
      <w:r>
        <w:rPr>
          <w:noProof/>
        </w:rPr>
        <w:lastRenderedPageBreak/>
        <w:drawing>
          <wp:inline distT="0" distB="0" distL="0" distR="0" wp14:anchorId="71D100DD" wp14:editId="7A1B030F">
            <wp:extent cx="3247802" cy="7043020"/>
            <wp:effectExtent l="0" t="0" r="0" b="0"/>
            <wp:docPr id="109" name="Picture"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
            <wp:cNvGraphicFramePr/>
            <a:graphic xmlns:a="http://schemas.openxmlformats.org/drawingml/2006/main">
              <a:graphicData uri="http://schemas.openxmlformats.org/drawingml/2006/picture">
                <pic:pic xmlns:pic="http://schemas.openxmlformats.org/drawingml/2006/picture">
                  <pic:nvPicPr>
                    <pic:cNvPr id="110" name="Picture" descr="sampling_uncertainty_mpm_main_files/a6908c9fdaad80a63daccb74c5d4bef0a9c255fe.png"/>
                    <pic:cNvPicPr>
                      <a:picLocks noChangeAspect="1" noChangeArrowheads="1"/>
                    </pic:cNvPicPr>
                  </pic:nvPicPr>
                  <pic:blipFill>
                    <a:blip r:embed="rId50"/>
                    <a:stretch>
                      <a:fillRect/>
                    </a:stretch>
                  </pic:blipFill>
                  <pic:spPr bwMode="auto">
                    <a:xfrm>
                      <a:off x="0" y="0"/>
                      <a:ext cx="3247802" cy="7043020"/>
                    </a:xfrm>
                    <a:prstGeom prst="rect">
                      <a:avLst/>
                    </a:prstGeom>
                    <a:noFill/>
                    <a:ln w="9525">
                      <a:noFill/>
                      <a:headEnd/>
                      <a:tailEnd/>
                    </a:ln>
                  </pic:spPr>
                </pic:pic>
              </a:graphicData>
            </a:graphic>
          </wp:inline>
        </w:drawing>
      </w:r>
    </w:p>
    <w:p w14:paraId="25540955" w14:textId="77777777" w:rsidR="001430F9" w:rsidRDefault="00000000">
      <w:pPr>
        <w:pStyle w:val="ImageCaption"/>
      </w:pPr>
      <w:bookmarkStart w:id="36" w:name="fig:fig-main-4"/>
      <w:bookmarkEnd w:id="36"/>
      <w:r>
        <w:t xml:space="preserve">Figure 5: Analysis 2 climate effects on recruitment and stage-specific survival in </w:t>
      </w:r>
      <w:r>
        <w:rPr>
          <w:iCs/>
        </w:rPr>
        <w:t>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w:t>
      </w:r>
      <w:r>
        <w:lastRenderedPageBreak/>
        <w:t>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w:t>
      </w:r>
    </w:p>
    <w:p w14:paraId="23F6BD00" w14:textId="77777777" w:rsidR="001430F9" w:rsidRDefault="00000000">
      <w:r>
        <w:br w:type="page"/>
      </w:r>
    </w:p>
    <w:p w14:paraId="4BBD688A" w14:textId="77777777" w:rsidR="001430F9" w:rsidRDefault="00000000">
      <w:pPr>
        <w:pStyle w:val="CaptionedFigure"/>
      </w:pPr>
      <w:r>
        <w:rPr>
          <w:noProof/>
        </w:rPr>
        <w:lastRenderedPageBreak/>
        <w:drawing>
          <wp:inline distT="0" distB="0" distL="0" distR="0" wp14:anchorId="7951627D" wp14:editId="423C41FB">
            <wp:extent cx="5727700" cy="4455476"/>
            <wp:effectExtent l="0" t="0" r="0" b="0"/>
            <wp:docPr id="113" name="Picture" descr="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its intervals are too narrow,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
            <wp:cNvGraphicFramePr/>
            <a:graphic xmlns:a="http://schemas.openxmlformats.org/drawingml/2006/main">
              <a:graphicData uri="http://schemas.openxmlformats.org/drawingml/2006/picture">
                <pic:pic xmlns:pic="http://schemas.openxmlformats.org/drawingml/2006/picture">
                  <pic:nvPicPr>
                    <pic:cNvPr id="114" name="Picture" descr="sampling_uncertainty_mpm_main_files/d55ce53c4bbd0e5d0036a5a9bf2b0c3c47fdc349.png"/>
                    <pic:cNvPicPr>
                      <a:picLocks noChangeAspect="1" noChangeArrowheads="1"/>
                    </pic:cNvPicPr>
                  </pic:nvPicPr>
                  <pic:blipFill>
                    <a:blip r:embed="rId51"/>
                    <a:stretch>
                      <a:fillRect/>
                    </a:stretch>
                  </pic:blipFill>
                  <pic:spPr bwMode="auto">
                    <a:xfrm>
                      <a:off x="0" y="0"/>
                      <a:ext cx="5727700" cy="4455476"/>
                    </a:xfrm>
                    <a:prstGeom prst="rect">
                      <a:avLst/>
                    </a:prstGeom>
                    <a:noFill/>
                    <a:ln w="9525">
                      <a:noFill/>
                      <a:headEnd/>
                      <a:tailEnd/>
                    </a:ln>
                  </pic:spPr>
                </pic:pic>
              </a:graphicData>
            </a:graphic>
          </wp:inline>
        </w:drawing>
      </w:r>
    </w:p>
    <w:p w14:paraId="3C60512C" w14:textId="77777777" w:rsidR="001430F9" w:rsidRDefault="00000000">
      <w:pPr>
        <w:pStyle w:val="ImageCaption"/>
      </w:pPr>
      <w:bookmarkStart w:id="37" w:name="fig:fig-main-5"/>
      <w:bookmarkEnd w:id="37"/>
      <w:r>
        <w:t>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its intervals are too narrow,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w:t>
      </w:r>
      <w:bookmarkEnd w:id="31"/>
    </w:p>
    <w:sectPr w:rsidR="001430F9" w:rsidSect="001B4436">
      <w:footerReference w:type="even" r:id="rId52"/>
      <w:footerReference w:type="default" r:id="rId53"/>
      <w:footnotePr>
        <w:numRestart w:val="eachSect"/>
      </w:footnotePr>
      <w:pgSz w:w="11900"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7C35F" w14:textId="77777777" w:rsidR="00C06344" w:rsidRDefault="00C06344">
      <w:pPr>
        <w:spacing w:after="0" w:line="240" w:lineRule="auto"/>
      </w:pPr>
      <w:r>
        <w:separator/>
      </w:r>
    </w:p>
  </w:endnote>
  <w:endnote w:type="continuationSeparator" w:id="0">
    <w:p w14:paraId="6CF56E82" w14:textId="77777777" w:rsidR="00C06344" w:rsidRDefault="00C06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6937502"/>
      <w:docPartObj>
        <w:docPartGallery w:val="Page Numbers (Bottom of Page)"/>
        <w:docPartUnique/>
      </w:docPartObj>
    </w:sdtPr>
    <w:sdtContent>
      <w:p w14:paraId="4ED49E58"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CB7E6B"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0175131"/>
      <w:docPartObj>
        <w:docPartGallery w:val="Page Numbers (Bottom of Page)"/>
        <w:docPartUnique/>
      </w:docPartObj>
    </w:sdtPr>
    <w:sdtContent>
      <w:p w14:paraId="122ED215"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3E3A2F"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6E432C" w14:textId="77777777" w:rsidR="00C06344" w:rsidRDefault="00C06344">
      <w:pPr>
        <w:spacing w:after="0" w:line="240" w:lineRule="auto"/>
      </w:pPr>
      <w:r>
        <w:separator/>
      </w:r>
    </w:p>
  </w:footnote>
  <w:footnote w:type="continuationSeparator" w:id="0">
    <w:p w14:paraId="3C756E7B" w14:textId="77777777" w:rsidR="00C06344" w:rsidRDefault="00C06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3EC3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8DE4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0478427">
    <w:abstractNumId w:val="0"/>
  </w:num>
  <w:num w:numId="2" w16cid:durableId="256325868">
    <w:abstractNumId w:val="0"/>
  </w:num>
  <w:num w:numId="3" w16cid:durableId="833257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7088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430F9"/>
    <w:rsid w:val="001B4436"/>
    <w:rsid w:val="00293780"/>
    <w:rsid w:val="00445ECF"/>
    <w:rsid w:val="00453F52"/>
    <w:rsid w:val="004A4DE7"/>
    <w:rsid w:val="0054502B"/>
    <w:rsid w:val="00832E65"/>
    <w:rsid w:val="00862BD4"/>
    <w:rsid w:val="008D3315"/>
    <w:rsid w:val="00BC4829"/>
    <w:rsid w:val="00C06344"/>
    <w:rsid w:val="00D521CD"/>
    <w:rsid w:val="00F7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89575"/>
  <w15:docId w15:val="{21603A18-7143-7F49-8240-BE5FF58A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90/03-0256" TargetMode="External"/><Relationship Id="rId18" Type="http://schemas.openxmlformats.org/officeDocument/2006/relationships/hyperlink" Target="https://doi.org/10.1098/rstb.1996.0117" TargetMode="External"/><Relationship Id="rId26" Type="http://schemas.openxmlformats.org/officeDocument/2006/relationships/hyperlink" Target="https://doi.org/10.1890/1051-0761(1998)008%5B0184:ETMOES%5D2.0.CO;2" TargetMode="External"/><Relationship Id="rId39" Type="http://schemas.openxmlformats.org/officeDocument/2006/relationships/hyperlink" Target="https://doi.org/10.1111/2041-210X.13289" TargetMode="External"/><Relationship Id="rId21" Type="http://schemas.openxmlformats.org/officeDocument/2006/relationships/hyperlink" Target="https://doi.org/10.1098/rspb.2014.0298" TargetMode="External"/><Relationship Id="rId34" Type="http://schemas.openxmlformats.org/officeDocument/2006/relationships/hyperlink" Target="https://prism.oregonstate.edu" TargetMode="External"/><Relationship Id="rId42" Type="http://schemas.openxmlformats.org/officeDocument/2006/relationships/hyperlink" Target="https://mc-stan.org/" TargetMode="External"/><Relationship Id="rId47" Type="http://schemas.openxmlformats.org/officeDocument/2006/relationships/image" Target="media/image2.png"/><Relationship Id="rId50" Type="http://schemas.openxmlformats.org/officeDocument/2006/relationships/image" Target="media/image5.png"/><Relationship Id="rId55" Type="http://schemas.openxmlformats.org/officeDocument/2006/relationships/theme" Target="theme/theme1.xml"/><Relationship Id="rId7" Type="http://schemas.openxmlformats.org/officeDocument/2006/relationships/hyperlink" Target="https://doi.org/10.1073/pnas.1315179111" TargetMode="External"/><Relationship Id="rId2" Type="http://schemas.openxmlformats.org/officeDocument/2006/relationships/styles" Target="styles.xml"/><Relationship Id="rId16" Type="http://schemas.openxmlformats.org/officeDocument/2006/relationships/hyperlink" Target="https://doi.org/10.1111/j.1420-9101.2009.01783.x" TargetMode="External"/><Relationship Id="rId29" Type="http://schemas.openxmlformats.org/officeDocument/2006/relationships/hyperlink" Target="https://doi.org/10.1111/j.1365-2745.2007.01291.x" TargetMode="External"/><Relationship Id="rId11" Type="http://schemas.openxmlformats.org/officeDocument/2006/relationships/hyperlink" Target="https://doi.org/10.2307/2937115" TargetMode="External"/><Relationship Id="rId24" Type="http://schemas.openxmlformats.org/officeDocument/2006/relationships/hyperlink" Target="https://doi.org/10.1890/08-1494.1" TargetMode="External"/><Relationship Id="rId32" Type="http://schemas.openxmlformats.org/officeDocument/2006/relationships/hyperlink" Target="https://doi.org/10.1016/j.biocon.2011.01.005" TargetMode="External"/><Relationship Id="rId37" Type="http://schemas.openxmlformats.org/officeDocument/2006/relationships/hyperlink" Target="https://doi.org/10.1111/1365-2656.12482" TargetMode="External"/><Relationship Id="rId40" Type="http://schemas.openxmlformats.org/officeDocument/2006/relationships/hyperlink" Target="https://doi.org/10.18637/jss.v076.i01" TargetMode="External"/><Relationship Id="rId45" Type="http://schemas.openxmlformats.org/officeDocument/2006/relationships/hyperlink" Target="https://doi.org/10.1371/journal.pone.0119163"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doi.org/10.1525/bio.2009.59.1.10" TargetMode="External"/><Relationship Id="rId19" Type="http://schemas.openxmlformats.org/officeDocument/2006/relationships/hyperlink" Target="https://doi.org/10.1038/s41559-017-0316-2" TargetMode="External"/><Relationship Id="rId31" Type="http://schemas.openxmlformats.org/officeDocument/2006/relationships/hyperlink" Target="https://doi.org/10.1201/9780429029608" TargetMode="External"/><Relationship Id="rId44" Type="http://schemas.openxmlformats.org/officeDocument/2006/relationships/hyperlink" Target="https://doi.org/10.1111/2041-210X.12486"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111/1365-2745.12084" TargetMode="External"/><Relationship Id="rId14" Type="http://schemas.openxmlformats.org/officeDocument/2006/relationships/hyperlink" Target="https://doi.org/10.1111/ele.12794" TargetMode="External"/><Relationship Id="rId22" Type="http://schemas.openxmlformats.org/officeDocument/2006/relationships/hyperlink" Target="https://doi.org/10.1038/s41559-019-0938-7" TargetMode="External"/><Relationship Id="rId27" Type="http://schemas.openxmlformats.org/officeDocument/2006/relationships/hyperlink" Target="https://doi.org/10.1046/j.1523-1739.2002.00036.x" TargetMode="External"/><Relationship Id="rId30" Type="http://schemas.openxmlformats.org/officeDocument/2006/relationships/hyperlink" Target="https://doi.org/10.1038/s41559-016-0029" TargetMode="External"/><Relationship Id="rId35" Type="http://schemas.openxmlformats.org/officeDocument/2006/relationships/hyperlink" Target="https://doi.org/10.1111/oik.10250" TargetMode="External"/><Relationship Id="rId43" Type="http://schemas.openxmlformats.org/officeDocument/2006/relationships/hyperlink" Target="https://doi.org/10.32614/CRAN.package.rstan" TargetMode="External"/><Relationship Id="rId48" Type="http://schemas.openxmlformats.org/officeDocument/2006/relationships/image" Target="media/image3.png"/><Relationship Id="rId8" Type="http://schemas.openxmlformats.org/officeDocument/2006/relationships/hyperlink" Target="https://doi.org/10.1111/j.2041-210X.2010.00087.x"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doi.org/10.1111/ele.12691" TargetMode="External"/><Relationship Id="rId17" Type="http://schemas.openxmlformats.org/officeDocument/2006/relationships/hyperlink" Target="https://doi.org/10.1890/11-1052.1" TargetMode="External"/><Relationship Id="rId25" Type="http://schemas.openxmlformats.org/officeDocument/2006/relationships/hyperlink" Target="https://doi.org/10.1038/nature12789" TargetMode="External"/><Relationship Id="rId33" Type="http://schemas.openxmlformats.org/officeDocument/2006/relationships/hyperlink" Target="https://doi.org/10.1890/15-0846R.1" TargetMode="External"/><Relationship Id="rId38" Type="http://schemas.openxmlformats.org/officeDocument/2006/relationships/hyperlink" Target="https://doi.org/10.1073/pnas.1506215112" TargetMode="External"/><Relationship Id="rId46" Type="http://schemas.openxmlformats.org/officeDocument/2006/relationships/image" Target="media/image1.png"/><Relationship Id="rId20" Type="http://schemas.openxmlformats.org/officeDocument/2006/relationships/hyperlink" Target="https://doi.org/10.1073/pnas.1305018110" TargetMode="External"/><Relationship Id="rId41" Type="http://schemas.openxmlformats.org/officeDocument/2006/relationships/hyperlink" Target="https://doi.org/10.1111/2041-210X.14276"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2/joc.1688" TargetMode="External"/><Relationship Id="rId23" Type="http://schemas.openxmlformats.org/officeDocument/2006/relationships/hyperlink" Target="https://doi.org/10.1086/589453" TargetMode="External"/><Relationship Id="rId28" Type="http://schemas.openxmlformats.org/officeDocument/2006/relationships/hyperlink" Target="https://doi.org/10.1023/A:1015506019670" TargetMode="External"/><Relationship Id="rId36" Type="http://schemas.openxmlformats.org/officeDocument/2006/relationships/hyperlink" Target="https://doi.org/10.1111/1365-2745.12334" TargetMode="External"/><Relationship Id="rId4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10799</Words>
  <Characters>67067</Characters>
  <Application>Microsoft Office Word</Application>
  <DocSecurity>0</DocSecurity>
  <Lines>1001</Lines>
  <Paragraphs>297</Paragraphs>
  <ScaleCrop>false</ScaleCrop>
  <Company/>
  <LinksUpToDate>false</LinksUpToDate>
  <CharactersWithSpaces>77569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cp:lastModifiedBy>Owen R. Jones</cp:lastModifiedBy>
  <cp:revision>3</cp:revision>
  <dcterms:created xsi:type="dcterms:W3CDTF">2026-09-23T12:56:00Z</dcterms:created>
  <dcterms:modified xsi:type="dcterms:W3CDTF">2026-09-23T12:58:00Z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