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CEA4A6" w14:textId="77777777" w:rsidR="00565854" w:rsidRDefault="00000000">
      <w:pPr>
        <w:pStyle w:val="Title"/>
      </w:pPr>
      <w:r>
        <w:t>Supplementary Materials</w:t>
      </w:r>
    </w:p>
    <w:p w14:paraId="5D8F442D" w14:textId="77777777" w:rsidR="00565854" w:rsidRDefault="00000000">
      <w:pPr>
        <w:pStyle w:val="Subtitle"/>
      </w:pPr>
      <w:r>
        <w:t>When does sampling uncertainty matter in matrix population models? Evidence from published projection matrices</w:t>
      </w:r>
    </w:p>
    <w:sdt>
      <w:sdtPr>
        <w:rPr>
          <w:rFonts w:ascii="Garamond" w:eastAsiaTheme="minorEastAsia" w:hAnsi="Garamond" w:cstheme="minorBidi"/>
          <w:b w:val="0"/>
          <w:bCs w:val="0"/>
          <w:color w:val="auto"/>
          <w:sz w:val="24"/>
          <w:szCs w:val="24"/>
        </w:rPr>
        <w:id w:val="-903062151"/>
        <w:docPartObj>
          <w:docPartGallery w:val="Table of Contents"/>
          <w:docPartUnique/>
        </w:docPartObj>
      </w:sdtPr>
      <w:sdtContent>
        <w:p w14:paraId="5C376450" w14:textId="77777777" w:rsidR="00565854" w:rsidRDefault="00000000">
          <w:pPr>
            <w:pStyle w:val="TOCHeading"/>
          </w:pPr>
          <w:r>
            <w:t>Table of Contents</w:t>
          </w:r>
        </w:p>
        <w:p w14:paraId="54103577" w14:textId="5664AA85" w:rsidR="00CC06C6" w:rsidRDefault="00000000">
          <w:pPr>
            <w:pStyle w:val="TOC1"/>
            <w:tabs>
              <w:tab w:val="right" w:leader="dot" w:pos="9010"/>
            </w:tabs>
            <w:rPr>
              <w:noProof/>
            </w:rPr>
          </w:pPr>
          <w:r>
            <w:fldChar w:fldCharType="begin"/>
          </w:r>
          <w:r>
            <w:instrText>TOC \o "1-2" \h \z \u</w:instrText>
          </w:r>
          <w:r>
            <w:fldChar w:fldCharType="separate"/>
          </w:r>
          <w:hyperlink w:anchor="_Toc241068412" w:history="1">
            <w:r w:rsidR="00CC06C6" w:rsidRPr="00D51E8B">
              <w:rPr>
                <w:rStyle w:val="Hyperlink"/>
                <w:noProof/>
              </w:rPr>
              <w:t>Supplementary Methods</w:t>
            </w:r>
            <w:r w:rsidR="00CC06C6">
              <w:rPr>
                <w:noProof/>
                <w:webHidden/>
              </w:rPr>
              <w:tab/>
            </w:r>
            <w:r w:rsidR="00CC06C6">
              <w:rPr>
                <w:noProof/>
                <w:webHidden/>
              </w:rPr>
              <w:fldChar w:fldCharType="begin"/>
            </w:r>
            <w:r w:rsidR="00CC06C6">
              <w:rPr>
                <w:noProof/>
                <w:webHidden/>
              </w:rPr>
              <w:instrText xml:space="preserve"> PAGEREF _Toc241068412 \h </w:instrText>
            </w:r>
            <w:r w:rsidR="00CC06C6">
              <w:rPr>
                <w:noProof/>
                <w:webHidden/>
              </w:rPr>
            </w:r>
            <w:r w:rsidR="00CC06C6">
              <w:rPr>
                <w:noProof/>
                <w:webHidden/>
              </w:rPr>
              <w:fldChar w:fldCharType="separate"/>
            </w:r>
            <w:r w:rsidR="00CC06C6">
              <w:rPr>
                <w:noProof/>
                <w:webHidden/>
              </w:rPr>
              <w:t>2</w:t>
            </w:r>
            <w:r w:rsidR="00CC06C6">
              <w:rPr>
                <w:noProof/>
                <w:webHidden/>
              </w:rPr>
              <w:fldChar w:fldCharType="end"/>
            </w:r>
          </w:hyperlink>
        </w:p>
        <w:p w14:paraId="0CDFFF5C" w14:textId="531C90D6" w:rsidR="00CC06C6" w:rsidRDefault="00CC06C6">
          <w:pPr>
            <w:pStyle w:val="TOC2"/>
            <w:tabs>
              <w:tab w:val="right" w:leader="dot" w:pos="9010"/>
            </w:tabs>
            <w:rPr>
              <w:noProof/>
            </w:rPr>
          </w:pPr>
          <w:hyperlink w:anchor="_Toc241068413" w:history="1">
            <w:r w:rsidRPr="00D51E8B">
              <w:rPr>
                <w:rStyle w:val="Hyperlink"/>
                <w:noProof/>
              </w:rPr>
              <w:t>S1.1 Sampling-distribution workflow used for each MPM</w:t>
            </w:r>
            <w:r>
              <w:rPr>
                <w:noProof/>
                <w:webHidden/>
              </w:rPr>
              <w:tab/>
            </w:r>
            <w:r>
              <w:rPr>
                <w:noProof/>
                <w:webHidden/>
              </w:rPr>
              <w:fldChar w:fldCharType="begin"/>
            </w:r>
            <w:r>
              <w:rPr>
                <w:noProof/>
                <w:webHidden/>
              </w:rPr>
              <w:instrText xml:space="preserve"> PAGEREF _Toc241068413 \h </w:instrText>
            </w:r>
            <w:r>
              <w:rPr>
                <w:noProof/>
                <w:webHidden/>
              </w:rPr>
            </w:r>
            <w:r>
              <w:rPr>
                <w:noProof/>
                <w:webHidden/>
              </w:rPr>
              <w:fldChar w:fldCharType="separate"/>
            </w:r>
            <w:r>
              <w:rPr>
                <w:noProof/>
                <w:webHidden/>
              </w:rPr>
              <w:t>2</w:t>
            </w:r>
            <w:r>
              <w:rPr>
                <w:noProof/>
                <w:webHidden/>
              </w:rPr>
              <w:fldChar w:fldCharType="end"/>
            </w:r>
          </w:hyperlink>
        </w:p>
        <w:p w14:paraId="085419D5" w14:textId="6EA602B1" w:rsidR="00CC06C6" w:rsidRDefault="00CC06C6">
          <w:pPr>
            <w:pStyle w:val="TOC2"/>
            <w:tabs>
              <w:tab w:val="right" w:leader="dot" w:pos="9010"/>
            </w:tabs>
            <w:rPr>
              <w:noProof/>
            </w:rPr>
          </w:pPr>
          <w:hyperlink w:anchor="_Toc241068414" w:history="1">
            <w:r w:rsidRPr="00D51E8B">
              <w:rPr>
                <w:rStyle w:val="Hyperlink"/>
                <w:noProof/>
              </w:rPr>
              <w:t>S1.2 Age-from-stage derivation, truncation, and shape metric</w:t>
            </w:r>
            <w:r>
              <w:rPr>
                <w:noProof/>
                <w:webHidden/>
              </w:rPr>
              <w:tab/>
            </w:r>
            <w:r>
              <w:rPr>
                <w:noProof/>
                <w:webHidden/>
              </w:rPr>
              <w:fldChar w:fldCharType="begin"/>
            </w:r>
            <w:r>
              <w:rPr>
                <w:noProof/>
                <w:webHidden/>
              </w:rPr>
              <w:instrText xml:space="preserve"> PAGEREF _Toc241068414 \h </w:instrText>
            </w:r>
            <w:r>
              <w:rPr>
                <w:noProof/>
                <w:webHidden/>
              </w:rPr>
            </w:r>
            <w:r>
              <w:rPr>
                <w:noProof/>
                <w:webHidden/>
              </w:rPr>
              <w:fldChar w:fldCharType="separate"/>
            </w:r>
            <w:r>
              <w:rPr>
                <w:noProof/>
                <w:webHidden/>
              </w:rPr>
              <w:t>3</w:t>
            </w:r>
            <w:r>
              <w:rPr>
                <w:noProof/>
                <w:webHidden/>
              </w:rPr>
              <w:fldChar w:fldCharType="end"/>
            </w:r>
          </w:hyperlink>
        </w:p>
        <w:p w14:paraId="1D6FB6B4" w14:textId="43E6A9F9" w:rsidR="00CC06C6" w:rsidRDefault="00CC06C6">
          <w:pPr>
            <w:pStyle w:val="TOC2"/>
            <w:tabs>
              <w:tab w:val="right" w:leader="dot" w:pos="9010"/>
            </w:tabs>
            <w:rPr>
              <w:noProof/>
            </w:rPr>
          </w:pPr>
          <w:hyperlink w:anchor="_Toc241068415" w:history="1">
            <w:r w:rsidRPr="00D51E8B">
              <w:rPr>
                <w:rStyle w:val="Hyperlink"/>
                <w:noProof/>
              </w:rPr>
              <w:t>S1.3 Pooled and mean MPM handling</w:t>
            </w:r>
            <w:r>
              <w:rPr>
                <w:noProof/>
                <w:webHidden/>
              </w:rPr>
              <w:tab/>
            </w:r>
            <w:r>
              <w:rPr>
                <w:noProof/>
                <w:webHidden/>
              </w:rPr>
              <w:fldChar w:fldCharType="begin"/>
            </w:r>
            <w:r>
              <w:rPr>
                <w:noProof/>
                <w:webHidden/>
              </w:rPr>
              <w:instrText xml:space="preserve"> PAGEREF _Toc241068415 \h </w:instrText>
            </w:r>
            <w:r>
              <w:rPr>
                <w:noProof/>
                <w:webHidden/>
              </w:rPr>
            </w:r>
            <w:r>
              <w:rPr>
                <w:noProof/>
                <w:webHidden/>
              </w:rPr>
              <w:fldChar w:fldCharType="separate"/>
            </w:r>
            <w:r>
              <w:rPr>
                <w:noProof/>
                <w:webHidden/>
              </w:rPr>
              <w:t>3</w:t>
            </w:r>
            <w:r>
              <w:rPr>
                <w:noProof/>
                <w:webHidden/>
              </w:rPr>
              <w:fldChar w:fldCharType="end"/>
            </w:r>
          </w:hyperlink>
        </w:p>
        <w:p w14:paraId="61C0E550" w14:textId="20396A9D" w:rsidR="00CC06C6" w:rsidRDefault="00CC06C6">
          <w:pPr>
            <w:pStyle w:val="TOC2"/>
            <w:tabs>
              <w:tab w:val="right" w:leader="dot" w:pos="9010"/>
            </w:tabs>
            <w:rPr>
              <w:noProof/>
            </w:rPr>
          </w:pPr>
          <w:hyperlink w:anchor="_Toc241068416" w:history="1">
            <w:r w:rsidRPr="00D51E8B">
              <w:rPr>
                <w:rStyle w:val="Hyperlink"/>
                <w:noProof/>
              </w:rPr>
              <w:t>S1.4 Bayesian model priors and fitting settings</w:t>
            </w:r>
            <w:r>
              <w:rPr>
                <w:noProof/>
                <w:webHidden/>
              </w:rPr>
              <w:tab/>
            </w:r>
            <w:r>
              <w:rPr>
                <w:noProof/>
                <w:webHidden/>
              </w:rPr>
              <w:fldChar w:fldCharType="begin"/>
            </w:r>
            <w:r>
              <w:rPr>
                <w:noProof/>
                <w:webHidden/>
              </w:rPr>
              <w:instrText xml:space="preserve"> PAGEREF _Toc241068416 \h </w:instrText>
            </w:r>
            <w:r>
              <w:rPr>
                <w:noProof/>
                <w:webHidden/>
              </w:rPr>
            </w:r>
            <w:r>
              <w:rPr>
                <w:noProof/>
                <w:webHidden/>
              </w:rPr>
              <w:fldChar w:fldCharType="separate"/>
            </w:r>
            <w:r>
              <w:rPr>
                <w:noProof/>
                <w:webHidden/>
              </w:rPr>
              <w:t>3</w:t>
            </w:r>
            <w:r>
              <w:rPr>
                <w:noProof/>
                <w:webHidden/>
              </w:rPr>
              <w:fldChar w:fldCharType="end"/>
            </w:r>
          </w:hyperlink>
        </w:p>
        <w:p w14:paraId="402A2AAB" w14:textId="1DC8DB71" w:rsidR="00CC06C6" w:rsidRDefault="00CC06C6">
          <w:pPr>
            <w:pStyle w:val="TOC2"/>
            <w:tabs>
              <w:tab w:val="right" w:leader="dot" w:pos="9010"/>
            </w:tabs>
            <w:rPr>
              <w:noProof/>
            </w:rPr>
          </w:pPr>
          <w:hyperlink w:anchor="_Toc241068417" w:history="1">
            <w:r w:rsidRPr="00D51E8B">
              <w:rPr>
                <w:rStyle w:val="Hyperlink"/>
                <w:noProof/>
              </w:rPr>
              <w:t>S1.5 Comparison of point-estimate and posterior-mean variance</w:t>
            </w:r>
            <w:r>
              <w:rPr>
                <w:noProof/>
                <w:webHidden/>
              </w:rPr>
              <w:tab/>
            </w:r>
            <w:r>
              <w:rPr>
                <w:noProof/>
                <w:webHidden/>
              </w:rPr>
              <w:fldChar w:fldCharType="begin"/>
            </w:r>
            <w:r>
              <w:rPr>
                <w:noProof/>
                <w:webHidden/>
              </w:rPr>
              <w:instrText xml:space="preserve"> PAGEREF _Toc241068417 \h </w:instrText>
            </w:r>
            <w:r>
              <w:rPr>
                <w:noProof/>
                <w:webHidden/>
              </w:rPr>
            </w:r>
            <w:r>
              <w:rPr>
                <w:noProof/>
                <w:webHidden/>
              </w:rPr>
              <w:fldChar w:fldCharType="separate"/>
            </w:r>
            <w:r>
              <w:rPr>
                <w:noProof/>
                <w:webHidden/>
              </w:rPr>
              <w:t>5</w:t>
            </w:r>
            <w:r>
              <w:rPr>
                <w:noProof/>
                <w:webHidden/>
              </w:rPr>
              <w:fldChar w:fldCharType="end"/>
            </w:r>
          </w:hyperlink>
        </w:p>
        <w:p w14:paraId="2CB3BE96" w14:textId="6C9BB67B" w:rsidR="00CC06C6" w:rsidRDefault="00CC06C6">
          <w:pPr>
            <w:pStyle w:val="TOC2"/>
            <w:tabs>
              <w:tab w:val="right" w:leader="dot" w:pos="9010"/>
            </w:tabs>
            <w:rPr>
              <w:noProof/>
            </w:rPr>
          </w:pPr>
          <w:hyperlink w:anchor="_Toc241068418" w:history="1">
            <w:r w:rsidRPr="00D51E8B">
              <w:rPr>
                <w:rStyle w:val="Hyperlink"/>
                <w:noProof/>
              </w:rPr>
              <w:t>S1.6 Simplified spring-temperature model (Analysis 2)</w:t>
            </w:r>
            <w:r>
              <w:rPr>
                <w:noProof/>
                <w:webHidden/>
              </w:rPr>
              <w:tab/>
            </w:r>
            <w:r>
              <w:rPr>
                <w:noProof/>
                <w:webHidden/>
              </w:rPr>
              <w:fldChar w:fldCharType="begin"/>
            </w:r>
            <w:r>
              <w:rPr>
                <w:noProof/>
                <w:webHidden/>
              </w:rPr>
              <w:instrText xml:space="preserve"> PAGEREF _Toc241068418 \h </w:instrText>
            </w:r>
            <w:r>
              <w:rPr>
                <w:noProof/>
                <w:webHidden/>
              </w:rPr>
            </w:r>
            <w:r>
              <w:rPr>
                <w:noProof/>
                <w:webHidden/>
              </w:rPr>
              <w:fldChar w:fldCharType="separate"/>
            </w:r>
            <w:r>
              <w:rPr>
                <w:noProof/>
                <w:webHidden/>
              </w:rPr>
              <w:t>5</w:t>
            </w:r>
            <w:r>
              <w:rPr>
                <w:noProof/>
                <w:webHidden/>
              </w:rPr>
              <w:fldChar w:fldCharType="end"/>
            </w:r>
          </w:hyperlink>
        </w:p>
        <w:p w14:paraId="06A33984" w14:textId="218B804F" w:rsidR="00CC06C6" w:rsidRDefault="00CC06C6">
          <w:pPr>
            <w:pStyle w:val="TOC2"/>
            <w:tabs>
              <w:tab w:val="right" w:leader="dot" w:pos="9010"/>
            </w:tabs>
            <w:rPr>
              <w:noProof/>
            </w:rPr>
          </w:pPr>
          <w:hyperlink w:anchor="_Toc241068419" w:history="1">
            <w:r w:rsidRPr="00D51E8B">
              <w:rPr>
                <w:rStyle w:val="Hyperlink"/>
                <w:noProof/>
              </w:rPr>
              <w:t>S1.7 Reporting recommendations for future MPM studies</w:t>
            </w:r>
            <w:r>
              <w:rPr>
                <w:noProof/>
                <w:webHidden/>
              </w:rPr>
              <w:tab/>
            </w:r>
            <w:r>
              <w:rPr>
                <w:noProof/>
                <w:webHidden/>
              </w:rPr>
              <w:fldChar w:fldCharType="begin"/>
            </w:r>
            <w:r>
              <w:rPr>
                <w:noProof/>
                <w:webHidden/>
              </w:rPr>
              <w:instrText xml:space="preserve"> PAGEREF _Toc241068419 \h </w:instrText>
            </w:r>
            <w:r>
              <w:rPr>
                <w:noProof/>
                <w:webHidden/>
              </w:rPr>
            </w:r>
            <w:r>
              <w:rPr>
                <w:noProof/>
                <w:webHidden/>
              </w:rPr>
              <w:fldChar w:fldCharType="separate"/>
            </w:r>
            <w:r>
              <w:rPr>
                <w:noProof/>
                <w:webHidden/>
              </w:rPr>
              <w:t>6</w:t>
            </w:r>
            <w:r>
              <w:rPr>
                <w:noProof/>
                <w:webHidden/>
              </w:rPr>
              <w:fldChar w:fldCharType="end"/>
            </w:r>
          </w:hyperlink>
        </w:p>
        <w:p w14:paraId="3EE23932" w14:textId="6D727BA5" w:rsidR="00CC06C6" w:rsidRDefault="00CC06C6">
          <w:pPr>
            <w:pStyle w:val="TOC2"/>
            <w:tabs>
              <w:tab w:val="right" w:leader="dot" w:pos="9010"/>
            </w:tabs>
            <w:rPr>
              <w:noProof/>
            </w:rPr>
          </w:pPr>
          <w:hyperlink w:anchor="_Toc241068420" w:history="1">
            <w:r w:rsidRPr="00D51E8B">
              <w:rPr>
                <w:rStyle w:val="Hyperlink"/>
                <w:noProof/>
              </w:rPr>
              <w:t>S1.8 Included versus excluded studies in the current target-study screen</w:t>
            </w:r>
            <w:r>
              <w:rPr>
                <w:noProof/>
                <w:webHidden/>
              </w:rPr>
              <w:tab/>
            </w:r>
            <w:r>
              <w:rPr>
                <w:noProof/>
                <w:webHidden/>
              </w:rPr>
              <w:fldChar w:fldCharType="begin"/>
            </w:r>
            <w:r>
              <w:rPr>
                <w:noProof/>
                <w:webHidden/>
              </w:rPr>
              <w:instrText xml:space="preserve"> PAGEREF _Toc241068420 \h </w:instrText>
            </w:r>
            <w:r>
              <w:rPr>
                <w:noProof/>
                <w:webHidden/>
              </w:rPr>
            </w:r>
            <w:r>
              <w:rPr>
                <w:noProof/>
                <w:webHidden/>
              </w:rPr>
              <w:fldChar w:fldCharType="separate"/>
            </w:r>
            <w:r>
              <w:rPr>
                <w:noProof/>
                <w:webHidden/>
              </w:rPr>
              <w:t>7</w:t>
            </w:r>
            <w:r>
              <w:rPr>
                <w:noProof/>
                <w:webHidden/>
              </w:rPr>
              <w:fldChar w:fldCharType="end"/>
            </w:r>
          </w:hyperlink>
        </w:p>
        <w:p w14:paraId="07B90E81" w14:textId="46AAA981" w:rsidR="00CC06C6" w:rsidRDefault="00CC06C6">
          <w:pPr>
            <w:pStyle w:val="TOC2"/>
            <w:tabs>
              <w:tab w:val="right" w:leader="dot" w:pos="9010"/>
            </w:tabs>
            <w:rPr>
              <w:noProof/>
            </w:rPr>
          </w:pPr>
          <w:hyperlink w:anchor="_Toc241068421" w:history="1">
            <w:r w:rsidRPr="00D51E8B">
              <w:rPr>
                <w:rStyle w:val="Hyperlink"/>
                <w:noProof/>
              </w:rPr>
              <w:t>S1.9 Study and species identities in Analysis 1</w:t>
            </w:r>
            <w:r>
              <w:rPr>
                <w:noProof/>
                <w:webHidden/>
              </w:rPr>
              <w:tab/>
            </w:r>
            <w:r>
              <w:rPr>
                <w:noProof/>
                <w:webHidden/>
              </w:rPr>
              <w:fldChar w:fldCharType="begin"/>
            </w:r>
            <w:r>
              <w:rPr>
                <w:noProof/>
                <w:webHidden/>
              </w:rPr>
              <w:instrText xml:space="preserve"> PAGEREF _Toc241068421 \h </w:instrText>
            </w:r>
            <w:r>
              <w:rPr>
                <w:noProof/>
                <w:webHidden/>
              </w:rPr>
            </w:r>
            <w:r>
              <w:rPr>
                <w:noProof/>
                <w:webHidden/>
              </w:rPr>
              <w:fldChar w:fldCharType="separate"/>
            </w:r>
            <w:r>
              <w:rPr>
                <w:noProof/>
                <w:webHidden/>
              </w:rPr>
              <w:t>7</w:t>
            </w:r>
            <w:r>
              <w:rPr>
                <w:noProof/>
                <w:webHidden/>
              </w:rPr>
              <w:fldChar w:fldCharType="end"/>
            </w:r>
          </w:hyperlink>
        </w:p>
        <w:p w14:paraId="616E2E72" w14:textId="4D705D92" w:rsidR="00CC06C6" w:rsidRDefault="00CC06C6">
          <w:pPr>
            <w:pStyle w:val="TOC2"/>
            <w:tabs>
              <w:tab w:val="right" w:leader="dot" w:pos="9010"/>
            </w:tabs>
            <w:rPr>
              <w:noProof/>
            </w:rPr>
          </w:pPr>
          <w:hyperlink w:anchor="_Toc241068422" w:history="1">
            <w:r w:rsidRPr="00D51E8B">
              <w:rPr>
                <w:rStyle w:val="Hyperlink"/>
                <w:noProof/>
              </w:rPr>
              <w:t>S1.10 Multisite robustness extension of Analysis 2 (Astragalus scaphoides)</w:t>
            </w:r>
            <w:r>
              <w:rPr>
                <w:noProof/>
                <w:webHidden/>
              </w:rPr>
              <w:tab/>
            </w:r>
            <w:r>
              <w:rPr>
                <w:noProof/>
                <w:webHidden/>
              </w:rPr>
              <w:fldChar w:fldCharType="begin"/>
            </w:r>
            <w:r>
              <w:rPr>
                <w:noProof/>
                <w:webHidden/>
              </w:rPr>
              <w:instrText xml:space="preserve"> PAGEREF _Toc241068422 \h </w:instrText>
            </w:r>
            <w:r>
              <w:rPr>
                <w:noProof/>
                <w:webHidden/>
              </w:rPr>
            </w:r>
            <w:r>
              <w:rPr>
                <w:noProof/>
                <w:webHidden/>
              </w:rPr>
              <w:fldChar w:fldCharType="separate"/>
            </w:r>
            <w:r>
              <w:rPr>
                <w:noProof/>
                <w:webHidden/>
              </w:rPr>
              <w:t>7</w:t>
            </w:r>
            <w:r>
              <w:rPr>
                <w:noProof/>
                <w:webHidden/>
              </w:rPr>
              <w:fldChar w:fldCharType="end"/>
            </w:r>
          </w:hyperlink>
        </w:p>
        <w:p w14:paraId="5AF8C579" w14:textId="4671DC12" w:rsidR="00CC06C6" w:rsidRDefault="00CC06C6">
          <w:pPr>
            <w:pStyle w:val="TOC2"/>
            <w:tabs>
              <w:tab w:val="right" w:leader="dot" w:pos="9010"/>
            </w:tabs>
            <w:rPr>
              <w:noProof/>
            </w:rPr>
          </w:pPr>
          <w:hyperlink w:anchor="_Toc241068423" w:history="1">
            <w:r w:rsidRPr="00D51E8B">
              <w:rPr>
                <w:rStyle w:val="Hyperlink"/>
                <w:noProof/>
              </w:rPr>
              <w:t>S1.11 Boundary survival estimates and small stage-specific sample sizes in Analysis 1</w:t>
            </w:r>
            <w:r>
              <w:rPr>
                <w:noProof/>
                <w:webHidden/>
              </w:rPr>
              <w:tab/>
            </w:r>
            <w:r>
              <w:rPr>
                <w:noProof/>
                <w:webHidden/>
              </w:rPr>
              <w:fldChar w:fldCharType="begin"/>
            </w:r>
            <w:r>
              <w:rPr>
                <w:noProof/>
                <w:webHidden/>
              </w:rPr>
              <w:instrText xml:space="preserve"> PAGEREF _Toc241068423 \h </w:instrText>
            </w:r>
            <w:r>
              <w:rPr>
                <w:noProof/>
                <w:webHidden/>
              </w:rPr>
            </w:r>
            <w:r>
              <w:rPr>
                <w:noProof/>
                <w:webHidden/>
              </w:rPr>
              <w:fldChar w:fldCharType="separate"/>
            </w:r>
            <w:r>
              <w:rPr>
                <w:noProof/>
                <w:webHidden/>
              </w:rPr>
              <w:t>8</w:t>
            </w:r>
            <w:r>
              <w:rPr>
                <w:noProof/>
                <w:webHidden/>
              </w:rPr>
              <w:fldChar w:fldCharType="end"/>
            </w:r>
          </w:hyperlink>
        </w:p>
        <w:p w14:paraId="14BC88AE" w14:textId="40389FF9" w:rsidR="00CC06C6" w:rsidRDefault="00CC06C6">
          <w:pPr>
            <w:pStyle w:val="TOC2"/>
            <w:tabs>
              <w:tab w:val="right" w:leader="dot" w:pos="9010"/>
            </w:tabs>
            <w:rPr>
              <w:noProof/>
            </w:rPr>
          </w:pPr>
          <w:hyperlink w:anchor="_Toc241068424" w:history="1">
            <w:r w:rsidRPr="00D51E8B">
              <w:rPr>
                <w:rStyle w:val="Hyperlink"/>
                <w:noProof/>
              </w:rPr>
              <w:t>S1.12 Displacement magnitude versus boundary survival structure</w:t>
            </w:r>
            <w:r>
              <w:rPr>
                <w:noProof/>
                <w:webHidden/>
              </w:rPr>
              <w:tab/>
            </w:r>
            <w:r>
              <w:rPr>
                <w:noProof/>
                <w:webHidden/>
              </w:rPr>
              <w:fldChar w:fldCharType="begin"/>
            </w:r>
            <w:r>
              <w:rPr>
                <w:noProof/>
                <w:webHidden/>
              </w:rPr>
              <w:instrText xml:space="preserve"> PAGEREF _Toc241068424 \h </w:instrText>
            </w:r>
            <w:r>
              <w:rPr>
                <w:noProof/>
                <w:webHidden/>
              </w:rPr>
            </w:r>
            <w:r>
              <w:rPr>
                <w:noProof/>
                <w:webHidden/>
              </w:rPr>
              <w:fldChar w:fldCharType="separate"/>
            </w:r>
            <w:r>
              <w:rPr>
                <w:noProof/>
                <w:webHidden/>
              </w:rPr>
              <w:t>9</w:t>
            </w:r>
            <w:r>
              <w:rPr>
                <w:noProof/>
                <w:webHidden/>
              </w:rPr>
              <w:fldChar w:fldCharType="end"/>
            </w:r>
          </w:hyperlink>
        </w:p>
        <w:p w14:paraId="1FD426E5" w14:textId="4876B904" w:rsidR="00CC06C6" w:rsidRDefault="00CC06C6">
          <w:pPr>
            <w:pStyle w:val="TOC2"/>
            <w:tabs>
              <w:tab w:val="right" w:leader="dot" w:pos="9010"/>
            </w:tabs>
            <w:rPr>
              <w:noProof/>
            </w:rPr>
          </w:pPr>
          <w:hyperlink w:anchor="_Toc241068425" w:history="1">
            <w:r w:rsidRPr="00D51E8B">
              <w:rPr>
                <w:rStyle w:val="Hyperlink"/>
                <w:noProof/>
              </w:rPr>
              <w:t>S1.13 Sensitivity to the quasi-stable-distribution truncation threshold</w:t>
            </w:r>
            <w:r>
              <w:rPr>
                <w:noProof/>
                <w:webHidden/>
              </w:rPr>
              <w:tab/>
            </w:r>
            <w:r>
              <w:rPr>
                <w:noProof/>
                <w:webHidden/>
              </w:rPr>
              <w:fldChar w:fldCharType="begin"/>
            </w:r>
            <w:r>
              <w:rPr>
                <w:noProof/>
                <w:webHidden/>
              </w:rPr>
              <w:instrText xml:space="preserve"> PAGEREF _Toc241068425 \h </w:instrText>
            </w:r>
            <w:r>
              <w:rPr>
                <w:noProof/>
                <w:webHidden/>
              </w:rPr>
            </w:r>
            <w:r>
              <w:rPr>
                <w:noProof/>
                <w:webHidden/>
              </w:rPr>
              <w:fldChar w:fldCharType="separate"/>
            </w:r>
            <w:r>
              <w:rPr>
                <w:noProof/>
                <w:webHidden/>
              </w:rPr>
              <w:t>9</w:t>
            </w:r>
            <w:r>
              <w:rPr>
                <w:noProof/>
                <w:webHidden/>
              </w:rPr>
              <w:fldChar w:fldCharType="end"/>
            </w:r>
          </w:hyperlink>
        </w:p>
        <w:p w14:paraId="28E4F510" w14:textId="004C3D42" w:rsidR="00CC06C6" w:rsidRDefault="00CC06C6">
          <w:pPr>
            <w:pStyle w:val="TOC1"/>
            <w:tabs>
              <w:tab w:val="right" w:leader="dot" w:pos="9010"/>
            </w:tabs>
            <w:rPr>
              <w:noProof/>
            </w:rPr>
          </w:pPr>
          <w:hyperlink w:anchor="_Toc241068426" w:history="1">
            <w:r w:rsidRPr="00D51E8B">
              <w:rPr>
                <w:rStyle w:val="Hyperlink"/>
                <w:noProof/>
              </w:rPr>
              <w:t>Supplementary Results</w:t>
            </w:r>
            <w:r>
              <w:rPr>
                <w:noProof/>
                <w:webHidden/>
              </w:rPr>
              <w:tab/>
            </w:r>
            <w:r>
              <w:rPr>
                <w:noProof/>
                <w:webHidden/>
              </w:rPr>
              <w:fldChar w:fldCharType="begin"/>
            </w:r>
            <w:r>
              <w:rPr>
                <w:noProof/>
                <w:webHidden/>
              </w:rPr>
              <w:instrText xml:space="preserve"> PAGEREF _Toc241068426 \h </w:instrText>
            </w:r>
            <w:r>
              <w:rPr>
                <w:noProof/>
                <w:webHidden/>
              </w:rPr>
            </w:r>
            <w:r>
              <w:rPr>
                <w:noProof/>
                <w:webHidden/>
              </w:rPr>
              <w:fldChar w:fldCharType="separate"/>
            </w:r>
            <w:r>
              <w:rPr>
                <w:noProof/>
                <w:webHidden/>
              </w:rPr>
              <w:t>10</w:t>
            </w:r>
            <w:r>
              <w:rPr>
                <w:noProof/>
                <w:webHidden/>
              </w:rPr>
              <w:fldChar w:fldCharType="end"/>
            </w:r>
          </w:hyperlink>
        </w:p>
        <w:p w14:paraId="729A206E" w14:textId="5614C321" w:rsidR="00CC06C6" w:rsidRDefault="00CC06C6">
          <w:pPr>
            <w:pStyle w:val="TOC2"/>
            <w:tabs>
              <w:tab w:val="right" w:leader="dot" w:pos="9010"/>
            </w:tabs>
            <w:rPr>
              <w:noProof/>
            </w:rPr>
          </w:pPr>
          <w:hyperlink w:anchor="_Toc241068427" w:history="1">
            <w:r w:rsidRPr="00D51E8B">
              <w:rPr>
                <w:rStyle w:val="Hyperlink"/>
                <w:noProof/>
              </w:rPr>
              <w:t>S2.1 Sensitivity to point-estimate weighting choice</w:t>
            </w:r>
            <w:r>
              <w:rPr>
                <w:noProof/>
                <w:webHidden/>
              </w:rPr>
              <w:tab/>
            </w:r>
            <w:r>
              <w:rPr>
                <w:noProof/>
                <w:webHidden/>
              </w:rPr>
              <w:fldChar w:fldCharType="begin"/>
            </w:r>
            <w:r>
              <w:rPr>
                <w:noProof/>
                <w:webHidden/>
              </w:rPr>
              <w:instrText xml:space="preserve"> PAGEREF _Toc241068427 \h </w:instrText>
            </w:r>
            <w:r>
              <w:rPr>
                <w:noProof/>
                <w:webHidden/>
              </w:rPr>
            </w:r>
            <w:r>
              <w:rPr>
                <w:noProof/>
                <w:webHidden/>
              </w:rPr>
              <w:fldChar w:fldCharType="separate"/>
            </w:r>
            <w:r>
              <w:rPr>
                <w:noProof/>
                <w:webHidden/>
              </w:rPr>
              <w:t>10</w:t>
            </w:r>
            <w:r>
              <w:rPr>
                <w:noProof/>
                <w:webHidden/>
              </w:rPr>
              <w:fldChar w:fldCharType="end"/>
            </w:r>
          </w:hyperlink>
        </w:p>
        <w:p w14:paraId="1DDB0FF4" w14:textId="7EF1932D" w:rsidR="00CC06C6" w:rsidRDefault="00CC06C6">
          <w:pPr>
            <w:pStyle w:val="TOC2"/>
            <w:tabs>
              <w:tab w:val="right" w:leader="dot" w:pos="9010"/>
            </w:tabs>
            <w:rPr>
              <w:noProof/>
            </w:rPr>
          </w:pPr>
          <w:hyperlink w:anchor="_Toc241068428" w:history="1">
            <w:r w:rsidRPr="00D51E8B">
              <w:rPr>
                <w:rStyle w:val="Hyperlink"/>
                <w:noProof/>
              </w:rPr>
              <w:t>S2.2 Where do boundary estimates and small stage counts occur?</w:t>
            </w:r>
            <w:r>
              <w:rPr>
                <w:noProof/>
                <w:webHidden/>
              </w:rPr>
              <w:tab/>
            </w:r>
            <w:r>
              <w:rPr>
                <w:noProof/>
                <w:webHidden/>
              </w:rPr>
              <w:fldChar w:fldCharType="begin"/>
            </w:r>
            <w:r>
              <w:rPr>
                <w:noProof/>
                <w:webHidden/>
              </w:rPr>
              <w:instrText xml:space="preserve"> PAGEREF _Toc241068428 \h </w:instrText>
            </w:r>
            <w:r>
              <w:rPr>
                <w:noProof/>
                <w:webHidden/>
              </w:rPr>
            </w:r>
            <w:r>
              <w:rPr>
                <w:noProof/>
                <w:webHidden/>
              </w:rPr>
              <w:fldChar w:fldCharType="separate"/>
            </w:r>
            <w:r>
              <w:rPr>
                <w:noProof/>
                <w:webHidden/>
              </w:rPr>
              <w:t>10</w:t>
            </w:r>
            <w:r>
              <w:rPr>
                <w:noProof/>
                <w:webHidden/>
              </w:rPr>
              <w:fldChar w:fldCharType="end"/>
            </w:r>
          </w:hyperlink>
        </w:p>
        <w:p w14:paraId="77FFBE02" w14:textId="125C1C79" w:rsidR="00CC06C6" w:rsidRDefault="00CC06C6">
          <w:pPr>
            <w:pStyle w:val="TOC2"/>
            <w:tabs>
              <w:tab w:val="right" w:leader="dot" w:pos="9010"/>
            </w:tabs>
            <w:rPr>
              <w:noProof/>
            </w:rPr>
          </w:pPr>
          <w:hyperlink w:anchor="_Toc241068429" w:history="1">
            <w:r w:rsidRPr="00D51E8B">
              <w:rPr>
                <w:rStyle w:val="Hyperlink"/>
                <w:noProof/>
              </w:rPr>
              <w:t>S2.3 Does displacement increase with boundary survival structure?</w:t>
            </w:r>
            <w:r>
              <w:rPr>
                <w:noProof/>
                <w:webHidden/>
              </w:rPr>
              <w:tab/>
            </w:r>
            <w:r>
              <w:rPr>
                <w:noProof/>
                <w:webHidden/>
              </w:rPr>
              <w:fldChar w:fldCharType="begin"/>
            </w:r>
            <w:r>
              <w:rPr>
                <w:noProof/>
                <w:webHidden/>
              </w:rPr>
              <w:instrText xml:space="preserve"> PAGEREF _Toc241068429 \h </w:instrText>
            </w:r>
            <w:r>
              <w:rPr>
                <w:noProof/>
                <w:webHidden/>
              </w:rPr>
            </w:r>
            <w:r>
              <w:rPr>
                <w:noProof/>
                <w:webHidden/>
              </w:rPr>
              <w:fldChar w:fldCharType="separate"/>
            </w:r>
            <w:r>
              <w:rPr>
                <w:noProof/>
                <w:webHidden/>
              </w:rPr>
              <w:t>11</w:t>
            </w:r>
            <w:r>
              <w:rPr>
                <w:noProof/>
                <w:webHidden/>
              </w:rPr>
              <w:fldChar w:fldCharType="end"/>
            </w:r>
          </w:hyperlink>
        </w:p>
        <w:p w14:paraId="29293FAD" w14:textId="5793B501" w:rsidR="00CC06C6" w:rsidRDefault="00CC06C6">
          <w:pPr>
            <w:pStyle w:val="TOC2"/>
            <w:tabs>
              <w:tab w:val="right" w:leader="dot" w:pos="9010"/>
            </w:tabs>
            <w:rPr>
              <w:noProof/>
            </w:rPr>
          </w:pPr>
          <w:hyperlink w:anchor="_Toc241068430" w:history="1">
            <w:r w:rsidRPr="00D51E8B">
              <w:rPr>
                <w:rStyle w:val="Hyperlink"/>
                <w:noProof/>
              </w:rPr>
              <w:t>S2.4 How sensitive are shape estimates to the truncation threshold?</w:t>
            </w:r>
            <w:r>
              <w:rPr>
                <w:noProof/>
                <w:webHidden/>
              </w:rPr>
              <w:tab/>
            </w:r>
            <w:r>
              <w:rPr>
                <w:noProof/>
                <w:webHidden/>
              </w:rPr>
              <w:fldChar w:fldCharType="begin"/>
            </w:r>
            <w:r>
              <w:rPr>
                <w:noProof/>
                <w:webHidden/>
              </w:rPr>
              <w:instrText xml:space="preserve"> PAGEREF _Toc241068430 \h </w:instrText>
            </w:r>
            <w:r>
              <w:rPr>
                <w:noProof/>
                <w:webHidden/>
              </w:rPr>
            </w:r>
            <w:r>
              <w:rPr>
                <w:noProof/>
                <w:webHidden/>
              </w:rPr>
              <w:fldChar w:fldCharType="separate"/>
            </w:r>
            <w:r>
              <w:rPr>
                <w:noProof/>
                <w:webHidden/>
              </w:rPr>
              <w:t>11</w:t>
            </w:r>
            <w:r>
              <w:rPr>
                <w:noProof/>
                <w:webHidden/>
              </w:rPr>
              <w:fldChar w:fldCharType="end"/>
            </w:r>
          </w:hyperlink>
        </w:p>
        <w:p w14:paraId="2E7C875F" w14:textId="393F245B" w:rsidR="00CC06C6" w:rsidRDefault="00CC06C6">
          <w:pPr>
            <w:pStyle w:val="TOC2"/>
            <w:tabs>
              <w:tab w:val="right" w:leader="dot" w:pos="9010"/>
            </w:tabs>
            <w:rPr>
              <w:noProof/>
            </w:rPr>
          </w:pPr>
          <w:hyperlink w:anchor="_Toc241068431" w:history="1">
            <w:r w:rsidRPr="00D51E8B">
              <w:rPr>
                <w:rStyle w:val="Hyperlink"/>
                <w:noProof/>
              </w:rPr>
              <w:t>S2.5 Multisite robustness analysis in Astragalus scaphoides</w:t>
            </w:r>
            <w:r>
              <w:rPr>
                <w:noProof/>
                <w:webHidden/>
              </w:rPr>
              <w:tab/>
            </w:r>
            <w:r>
              <w:rPr>
                <w:noProof/>
                <w:webHidden/>
              </w:rPr>
              <w:fldChar w:fldCharType="begin"/>
            </w:r>
            <w:r>
              <w:rPr>
                <w:noProof/>
                <w:webHidden/>
              </w:rPr>
              <w:instrText xml:space="preserve"> PAGEREF _Toc241068431 \h </w:instrText>
            </w:r>
            <w:r>
              <w:rPr>
                <w:noProof/>
                <w:webHidden/>
              </w:rPr>
            </w:r>
            <w:r>
              <w:rPr>
                <w:noProof/>
                <w:webHidden/>
              </w:rPr>
              <w:fldChar w:fldCharType="separate"/>
            </w:r>
            <w:r>
              <w:rPr>
                <w:noProof/>
                <w:webHidden/>
              </w:rPr>
              <w:t>12</w:t>
            </w:r>
            <w:r>
              <w:rPr>
                <w:noProof/>
                <w:webHidden/>
              </w:rPr>
              <w:fldChar w:fldCharType="end"/>
            </w:r>
          </w:hyperlink>
        </w:p>
        <w:p w14:paraId="7A6211D6" w14:textId="4AC002DE" w:rsidR="00CC06C6" w:rsidRDefault="00CC06C6">
          <w:pPr>
            <w:pStyle w:val="TOC1"/>
            <w:tabs>
              <w:tab w:val="right" w:leader="dot" w:pos="9010"/>
            </w:tabs>
            <w:rPr>
              <w:noProof/>
            </w:rPr>
          </w:pPr>
          <w:hyperlink w:anchor="_Toc241068432" w:history="1">
            <w:r w:rsidRPr="00D51E8B">
              <w:rPr>
                <w:rStyle w:val="Hyperlink"/>
                <w:noProof/>
              </w:rPr>
              <w:t>Supplementary Tables</w:t>
            </w:r>
            <w:r>
              <w:rPr>
                <w:noProof/>
                <w:webHidden/>
              </w:rPr>
              <w:tab/>
            </w:r>
            <w:r>
              <w:rPr>
                <w:noProof/>
                <w:webHidden/>
              </w:rPr>
              <w:fldChar w:fldCharType="begin"/>
            </w:r>
            <w:r>
              <w:rPr>
                <w:noProof/>
                <w:webHidden/>
              </w:rPr>
              <w:instrText xml:space="preserve"> PAGEREF _Toc241068432 \h </w:instrText>
            </w:r>
            <w:r>
              <w:rPr>
                <w:noProof/>
                <w:webHidden/>
              </w:rPr>
            </w:r>
            <w:r>
              <w:rPr>
                <w:noProof/>
                <w:webHidden/>
              </w:rPr>
              <w:fldChar w:fldCharType="separate"/>
            </w:r>
            <w:r>
              <w:rPr>
                <w:noProof/>
                <w:webHidden/>
              </w:rPr>
              <w:t>12</w:t>
            </w:r>
            <w:r>
              <w:rPr>
                <w:noProof/>
                <w:webHidden/>
              </w:rPr>
              <w:fldChar w:fldCharType="end"/>
            </w:r>
          </w:hyperlink>
        </w:p>
        <w:p w14:paraId="1F534624" w14:textId="46E2DECD" w:rsidR="00CC06C6" w:rsidRDefault="00CC06C6">
          <w:pPr>
            <w:pStyle w:val="TOC1"/>
            <w:tabs>
              <w:tab w:val="right" w:leader="dot" w:pos="9010"/>
            </w:tabs>
            <w:rPr>
              <w:noProof/>
            </w:rPr>
          </w:pPr>
          <w:hyperlink w:anchor="_Toc241068433" w:history="1">
            <w:r w:rsidRPr="00D51E8B">
              <w:rPr>
                <w:rStyle w:val="Hyperlink"/>
                <w:noProof/>
              </w:rPr>
              <w:t>Supplementary Figures</w:t>
            </w:r>
            <w:r>
              <w:rPr>
                <w:noProof/>
                <w:webHidden/>
              </w:rPr>
              <w:tab/>
            </w:r>
            <w:r>
              <w:rPr>
                <w:noProof/>
                <w:webHidden/>
              </w:rPr>
              <w:fldChar w:fldCharType="begin"/>
            </w:r>
            <w:r>
              <w:rPr>
                <w:noProof/>
                <w:webHidden/>
              </w:rPr>
              <w:instrText xml:space="preserve"> PAGEREF _Toc241068433 \h </w:instrText>
            </w:r>
            <w:r>
              <w:rPr>
                <w:noProof/>
                <w:webHidden/>
              </w:rPr>
            </w:r>
            <w:r>
              <w:rPr>
                <w:noProof/>
                <w:webHidden/>
              </w:rPr>
              <w:fldChar w:fldCharType="separate"/>
            </w:r>
            <w:r>
              <w:rPr>
                <w:noProof/>
                <w:webHidden/>
              </w:rPr>
              <w:t>31</w:t>
            </w:r>
            <w:r>
              <w:rPr>
                <w:noProof/>
                <w:webHidden/>
              </w:rPr>
              <w:fldChar w:fldCharType="end"/>
            </w:r>
          </w:hyperlink>
        </w:p>
        <w:p w14:paraId="58B68F3F" w14:textId="77777777" w:rsidR="00565854" w:rsidRDefault="00000000">
          <w:r>
            <w:fldChar w:fldCharType="end"/>
          </w:r>
        </w:p>
      </w:sdtContent>
    </w:sdt>
    <w:p w14:paraId="6EA23841" w14:textId="77777777" w:rsidR="00565854" w:rsidRDefault="00000000">
      <w:pPr>
        <w:pStyle w:val="Heading1"/>
      </w:pPr>
      <w:bookmarkStart w:id="0" w:name="supplementary-methods"/>
      <w:bookmarkStart w:id="1" w:name="_Toc241068412"/>
      <w:r>
        <w:t>Supplementary Methods</w:t>
      </w:r>
      <w:bookmarkEnd w:id="1"/>
    </w:p>
    <w:p w14:paraId="605503AE" w14:textId="77777777" w:rsidR="00565854" w:rsidRDefault="00000000">
      <w:pPr>
        <w:pStyle w:val="Heading2"/>
      </w:pPr>
      <w:bookmarkStart w:id="2" w:name="X8db80bf293cd88c959aa74ef5a7560efca860c5"/>
      <w:bookmarkStart w:id="3" w:name="_Toc241068413"/>
      <w:r>
        <w:t>S1.1 Sampling-distribution workflow used for each MPM</w:t>
      </w:r>
      <w:bookmarkEnd w:id="3"/>
    </w:p>
    <w:p w14:paraId="387B23F8" w14:textId="77777777" w:rsidR="00565854" w:rsidRDefault="00000000">
      <w:pPr>
        <w:pStyle w:val="FirstParagraph"/>
      </w:pPr>
      <w:r>
        <w:t xml:space="preserve">We reconstructed transition-rate uncertainty by direct conjugate posterior sampling, using 2,000 draws per MPM for the illustrative example and 1,000 for Analysis 1. For each origin-stage column of </w:t>
      </w:r>
      <m:oMath>
        <m:r>
          <w:rPr>
            <w:rFonts w:ascii="Cambria Math" w:hAnsi="Cambria Math"/>
          </w:rPr>
          <m:t>U</m:t>
        </m:r>
      </m:oMath>
      <w:r>
        <w:t xml:space="preserve">, allowed living transitions and death were drawn jointly from </w:t>
      </w:r>
      <m:oMath>
        <m:r>
          <m:rPr>
            <m:sty m:val="p"/>
          </m:rPr>
          <w:rPr>
            <w:rFonts w:ascii="Cambria Math" w:hAnsi="Cambria Math"/>
          </w:rPr>
          <m:t>Dirichlet(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corresponding to a multinomial likelihood and a </w:t>
      </w:r>
      <m:oMath>
        <m:r>
          <m:rPr>
            <m:sty m:val="p"/>
          </m:rPr>
          <w:rPr>
            <w:rFonts w:ascii="Cambria Math" w:hAnsi="Cambria Math"/>
          </w:rPr>
          <m:t>Dirichlet(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prior. Counts </w:t>
      </w:r>
      <m:oMath>
        <m:sSub>
          <m:sSubPr>
            <m:ctrlPr>
              <w:rPr>
                <w:rFonts w:ascii="Cambria Math" w:hAnsi="Cambria Math"/>
              </w:rPr>
            </m:ctrlPr>
          </m:sSubPr>
          <m:e>
            <m:r>
              <w:rPr>
                <w:rFonts w:ascii="Cambria Math" w:hAnsi="Cambria Math"/>
              </w:rPr>
              <m:t>k</m:t>
            </m:r>
          </m:e>
          <m:sub>
            <m:r>
              <w:rPr>
                <w:rFonts w:ascii="Cambria Math" w:hAnsi="Cambria Math"/>
              </w:rPr>
              <m:t>m</m:t>
            </m:r>
          </m:sub>
        </m:sSub>
      </m:oMath>
      <w:r>
        <w:t xml:space="preserve"> were reconstructed as transition rates multiplied by stage sample size, after rescaling any </w:t>
      </w:r>
      <m:oMath>
        <m:r>
          <w:rPr>
            <w:rFonts w:ascii="Cambria Math" w:hAnsi="Cambria Math"/>
          </w:rPr>
          <m:t>U</m:t>
        </m:r>
      </m:oMath>
      <w:r>
        <w:t xml:space="preserve"> column whose sum exceeded 1. These reconstructed counts may be fractional for rounded or averaged matrix entries. Each allowed reproductive rate was drawn from </w:t>
      </w:r>
      <m:oMath>
        <m:r>
          <m:rPr>
            <m:sty m:val="p"/>
          </m:rPr>
          <w:rPr>
            <w:rFonts w:ascii="Cambria Math" w:hAnsi="Cambria Math"/>
          </w:rPr>
          <m:t>Gamma(</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m:rPr>
            <m:nor/>
          </m:rPr>
          <m:t>rate</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where </w:t>
      </w:r>
      <m:oMath>
        <m:r>
          <w:rPr>
            <w:rFonts w:ascii="Cambria Math" w:hAnsi="Cambria Math"/>
          </w:rPr>
          <m:t>k</m:t>
        </m:r>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F</m:t>
            </m:r>
          </m:e>
          <m:sub>
            <m:r>
              <w:rPr>
                <w:rFonts w:ascii="Cambria Math" w:hAnsi="Cambria Math"/>
              </w:rPr>
              <m:t>ij</m:t>
            </m:r>
          </m:sub>
        </m:sSub>
      </m:oMath>
      <w:r>
        <w:t>, corresponding to a Poisson likelihood and an improper flat prior on the non-negative rate scale. These are posterior parameter draws, not bootstrap resamples of observations. We rebuilt each MPM and recalculated derived quantities for every draw.</w:t>
      </w:r>
    </w:p>
    <w:p w14:paraId="671FC14D" w14:textId="77777777" w:rsidR="00565854" w:rsidRDefault="00000000">
      <w:pPr>
        <w:pStyle w:val="BodyText"/>
      </w:pPr>
      <w:r>
        <w:t xml:space="preserve">Allowed-transition masks default to positive entries in the focal matrix; where masks are constructed across matrices, an entry is allowed if positive in any contributing matrix. Other entries remain zero. Death is included even when its reconstructed count is zero, provided the column has an allowed living transition. This does not establish that excluded zero-valued transitions are biologically impossible. A missing sample size leaves its column unchanged; a sample size of zero produces a missing simulated column. Neither case supplies a posterior uncertainty estimate for that column. Figure 1C displays normalised marginal binomial or </w:t>
      </w:r>
      <w:r>
        <w:lastRenderedPageBreak/>
        <w:t>Poisson likelihood curves under flat priors over the plotted range; these are distinct from the joint Dirichlet draws used for derived quantities.</w:t>
      </w:r>
    </w:p>
    <w:p w14:paraId="48478981" w14:textId="77777777" w:rsidR="00565854" w:rsidRDefault="00000000">
      <w:pPr>
        <w:pStyle w:val="BodyText"/>
      </w:pPr>
      <w:r>
        <w:t>Point estimates correspond to values derived directly from the reported matrix entries; uncertainty-aware summaries describe the reconstructed posterior distributions.</w:t>
      </w:r>
    </w:p>
    <w:p w14:paraId="7B72EE3B" w14:textId="77777777" w:rsidR="00565854" w:rsidRDefault="00000000">
      <w:pPr>
        <w:pStyle w:val="Heading2"/>
      </w:pPr>
      <w:bookmarkStart w:id="4" w:name="X1ae6718b170a93b0e1164c93ec09328879eb1f3"/>
      <w:bookmarkStart w:id="5" w:name="_Toc241068414"/>
      <w:bookmarkEnd w:id="2"/>
      <w:r>
        <w:t>S1.2 Age-from-stage derivation, truncation, and shape metric</w:t>
      </w:r>
      <w:bookmarkEnd w:id="5"/>
    </w:p>
    <w:p w14:paraId="032A3B82" w14:textId="77777777" w:rsidR="00565854" w:rsidRDefault="00000000">
      <w:pPr>
        <w:pStyle w:val="FirstParagraph"/>
      </w:pPr>
      <w:r>
        <w:t>Life expectancy and shape were derived from survivorship trajectories obtained using age-from-stage methods, starting from the first reproductive stage. Shape was calculated using the pace-shape framework metric (Baudisch and Stott 2019). Because stage-based survivorship can converge to an artefactual mortality plateau, shape was calculated on truncated trajectories up to quasi-stable convergence (distance threshold 1%).</w:t>
      </w:r>
    </w:p>
    <w:p w14:paraId="06399743" w14:textId="77777777" w:rsidR="00565854" w:rsidRDefault="00000000">
      <w:pPr>
        <w:pStyle w:val="Heading2"/>
      </w:pPr>
      <w:bookmarkStart w:id="6" w:name="s1.3-pooled-and-mean-mpm-handling"/>
      <w:bookmarkStart w:id="7" w:name="_Toc241068415"/>
      <w:bookmarkEnd w:id="4"/>
      <w:r>
        <w:t>S1.3 Pooled and mean MPM handling</w:t>
      </w:r>
      <w:bookmarkEnd w:id="7"/>
    </w:p>
    <w:p w14:paraId="6A6C9F2F" w14:textId="77777777" w:rsidR="00565854" w:rsidRDefault="00000000">
      <w:pPr>
        <w:pStyle w:val="FirstParagraph"/>
      </w:pPr>
      <w:r>
        <w:t>Analysis 1 used one population-level MPM per population. Where a pooled population MPM was available, it was used; otherwise, a mean population MPM was used; if neither was available, a population-level matrix was constructed as the element-wise mean of the available annual individual MPMs. When COMPADRE included both site-specific population rows and aggregate rows that combined multiple populations, only the site-specific population rows were retained, so that each population contributed a single analysis unit. For uncertainty propagation in pooled or mean matrices, stage-specific sample sizes were pooled across years before posterior sampling. This captures within-year sampling variation but does not fully represent between-year process variation, so the resulting uncertainty should be interpreted conservatively.</w:t>
      </w:r>
    </w:p>
    <w:p w14:paraId="6423C79A" w14:textId="77777777" w:rsidR="00565854" w:rsidRDefault="00000000">
      <w:pPr>
        <w:pStyle w:val="Heading2"/>
      </w:pPr>
      <w:bookmarkStart w:id="8" w:name="X226a7ecea596d07eff13fc3b92f7de5fa9b4e5b"/>
      <w:bookmarkStart w:id="9" w:name="_Toc241068416"/>
      <w:bookmarkEnd w:id="6"/>
      <w:r>
        <w:t>S1.4 Bayesian model priors and fitting settings</w:t>
      </w:r>
      <w:bookmarkEnd w:id="9"/>
    </w:p>
    <w:p w14:paraId="4BAD48F8" w14:textId="77777777" w:rsidR="00565854" w:rsidRDefault="00000000">
      <w:pPr>
        <w:pStyle w:val="FirstParagraph"/>
      </w:pPr>
      <w:r>
        <w:t xml:space="preserve">Stan models and priors are defined in </w:t>
      </w:r>
      <w:r>
        <w:rPr>
          <w:rStyle w:val="VerbatimChar"/>
        </w:rPr>
        <w:t>models/*.stan</w:t>
      </w:r>
      <w:r>
        <w:t>. For the three main analyses:</w:t>
      </w:r>
    </w:p>
    <w:p w14:paraId="51D52CC2" w14:textId="77777777" w:rsidR="00565854" w:rsidRDefault="00000000">
      <w:pPr>
        <w:pStyle w:val="Compact"/>
        <w:numPr>
          <w:ilvl w:val="0"/>
          <w:numId w:val="3"/>
        </w:numPr>
      </w:pPr>
      <w:r>
        <w:lastRenderedPageBreak/>
        <w:t xml:space="preserve">Analysis 1 models use normal priors for location/slope terms and half-normal priors for positive scale terms (see </w:t>
      </w:r>
      <w:r>
        <w:rPr>
          <w:rStyle w:val="VerbatimChar"/>
        </w:rPr>
        <w:t>models/regress_hier.stan</w:t>
      </w:r>
      <w:r>
        <w:t xml:space="preserve"> and </w:t>
      </w:r>
      <w:r>
        <w:rPr>
          <w:rStyle w:val="VerbatimChar"/>
        </w:rPr>
        <w:t>models/regress_hier_error.stan</w:t>
      </w:r>
      <w:r>
        <w:t>).</w:t>
      </w:r>
    </w:p>
    <w:p w14:paraId="7A22E012" w14:textId="77777777" w:rsidR="00565854" w:rsidRDefault="00000000">
      <w:pPr>
        <w:pStyle w:val="Compact"/>
        <w:numPr>
          <w:ilvl w:val="0"/>
          <w:numId w:val="3"/>
        </w:numPr>
      </w:pPr>
      <w:r>
        <w:t>Analysis 2 uses Gaussian-process recruitment models with normal priors on GP hyperparameters and coefficients (</w:t>
      </w:r>
      <w:r>
        <w:rPr>
          <w:rStyle w:val="VerbatimChar"/>
        </w:rPr>
        <w:t>models/movbeta_gprc.stan</w:t>
      </w:r>
      <w:r>
        <w:t xml:space="preserve"> and </w:t>
      </w:r>
      <w:r>
        <w:rPr>
          <w:rStyle w:val="VerbatimChar"/>
        </w:rPr>
        <w:t>models/movbeta_gprc_err.stan</w:t>
      </w:r>
      <w:r>
        <w:t>), plus spring-temperature models (</w:t>
      </w:r>
      <w:r>
        <w:rPr>
          <w:rStyle w:val="VerbatimChar"/>
        </w:rPr>
        <w:t>models/regress.stan</w:t>
      </w:r>
      <w:r>
        <w:t xml:space="preserve"> and </w:t>
      </w:r>
      <w:r>
        <w:rPr>
          <w:rStyle w:val="VerbatimChar"/>
        </w:rPr>
        <w:t>models/regress_log_err.stan</w:t>
      </w:r>
      <w:r>
        <w:t>).</w:t>
      </w:r>
    </w:p>
    <w:p w14:paraId="26FB0B53" w14:textId="77777777" w:rsidR="00565854" w:rsidRDefault="00000000">
      <w:pPr>
        <w:pStyle w:val="Compact"/>
        <w:numPr>
          <w:ilvl w:val="0"/>
          <w:numId w:val="3"/>
        </w:numPr>
      </w:pPr>
      <w:r>
        <w:t xml:space="preserve">Analysis 3 fits its model with year-specific process variation using </w:t>
      </w:r>
      <w:r>
        <w:rPr>
          <w:rStyle w:val="VerbatimChar"/>
        </w:rPr>
        <w:t>models/poisson_climate_latent.stan</w:t>
      </w:r>
      <w:r>
        <w:t xml:space="preserve">: the intercept and climate coefficient have </w:t>
      </w:r>
      <m:oMath>
        <m:r>
          <m:rPr>
            <m:nor/>
          </m:rPr>
          <m:t>Normal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w:t>
      </w:r>
      <m:oMath>
        <m:r>
          <m:rPr>
            <m:nor/>
          </m:rPr>
          <m:t>Normal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priors, respectively; the process standard deviation has an </w:t>
      </w:r>
      <m:oMath>
        <m:r>
          <m:rPr>
            <m:nor/>
          </m:rPr>
          <m:t>Exponential</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prior, and the standardised year effects have </w:t>
      </w:r>
      <m:oMath>
        <m:r>
          <m:rPr>
            <m:nor/>
          </m:rPr>
          <m:t>Normal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priors. Its Gaussian and Poisson point-estimate models use </w:t>
      </w:r>
      <w:r>
        <w:rPr>
          <w:rStyle w:val="VerbatimChar"/>
        </w:rPr>
        <w:t>stats::glm()</w:t>
      </w:r>
      <w:r>
        <w:t xml:space="preserve"> and have no Bayesian priors.</w:t>
      </w:r>
    </w:p>
    <w:p w14:paraId="07EE4181" w14:textId="77777777" w:rsidR="00565854" w:rsidRDefault="00000000">
      <w:pPr>
        <w:pStyle w:val="Compact"/>
        <w:numPr>
          <w:ilvl w:val="0"/>
          <w:numId w:val="3"/>
        </w:numPr>
      </w:pPr>
      <w:r>
        <w:t xml:space="preserve">The multisite </w:t>
      </w:r>
      <w:r>
        <w:rPr>
          <w:i/>
          <w:iCs/>
        </w:rPr>
        <w:t>Astragalus scaphoides</w:t>
      </w:r>
      <w:r>
        <w:t xml:space="preserve"> robustness analysis uses the same Gaussian-process recruitment model pair as Analysis 2 (</w:t>
      </w:r>
      <w:r>
        <w:rPr>
          <w:rStyle w:val="VerbatimChar"/>
        </w:rPr>
        <w:t>models/movbeta_gprc.stan</w:t>
      </w:r>
      <w:r>
        <w:t xml:space="preserve"> and </w:t>
      </w:r>
      <w:r>
        <w:rPr>
          <w:rStyle w:val="VerbatimChar"/>
        </w:rPr>
        <w:t>models/movbeta_gprc_err.stan</w:t>
      </w:r>
      <w:r>
        <w:t>) together with a simpler spring-temperature regression pair using weakly informative normal priors on regression coefficients and scale terms (</w:t>
      </w:r>
      <w:r>
        <w:rPr>
          <w:rStyle w:val="VerbatimChar"/>
        </w:rPr>
        <w:t>models/regress.stan</w:t>
      </w:r>
      <w:r>
        <w:t xml:space="preserve"> and </w:t>
      </w:r>
      <w:r>
        <w:rPr>
          <w:rStyle w:val="VerbatimChar"/>
        </w:rPr>
        <w:t>models/regress_log_err.stan</w:t>
      </w:r>
      <w:r>
        <w:t>).</w:t>
      </w:r>
    </w:p>
    <w:p w14:paraId="5A5396E0" w14:textId="77777777" w:rsidR="00565854" w:rsidRDefault="00000000">
      <w:pPr>
        <w:pStyle w:val="FirstParagraph"/>
      </w:pPr>
      <w:r>
        <w:t>Fitting settings used in scripts:</w:t>
      </w:r>
    </w:p>
    <w:p w14:paraId="53D0053C" w14:textId="77777777" w:rsidR="00565854" w:rsidRDefault="00000000">
      <w:pPr>
        <w:pStyle w:val="Compact"/>
        <w:numPr>
          <w:ilvl w:val="0"/>
          <w:numId w:val="4"/>
        </w:numPr>
      </w:pPr>
      <w:r>
        <w:t>Analysis 1 (</w:t>
      </w:r>
      <w:r>
        <w:rPr>
          <w:rStyle w:val="VerbatimChar"/>
        </w:rPr>
        <w:t>scripts/S07_case_study_1_analysis.R</w:t>
      </w:r>
      <w:r>
        <w:t xml:space="preserve">): </w:t>
      </w:r>
      <w:r>
        <w:rPr>
          <w:rStyle w:val="VerbatimChar"/>
        </w:rPr>
        <w:t>chains = 2</w:t>
      </w:r>
      <w:r>
        <w:t xml:space="preserve">, </w:t>
      </w:r>
      <w:r>
        <w:rPr>
          <w:rStyle w:val="VerbatimChar"/>
        </w:rPr>
        <w:t>iter = 4000</w:t>
      </w:r>
      <w:r>
        <w:t xml:space="preserve">, </w:t>
      </w:r>
      <w:r>
        <w:rPr>
          <w:rStyle w:val="VerbatimChar"/>
        </w:rPr>
        <w:t>warmup = 2000-3000</w:t>
      </w:r>
      <w:r>
        <w:t xml:space="preserve">, </w:t>
      </w:r>
      <w:r>
        <w:rPr>
          <w:rStyle w:val="VerbatimChar"/>
        </w:rPr>
        <w:t>seed = 5654</w:t>
      </w:r>
      <w:r>
        <w:t>.</w:t>
      </w:r>
    </w:p>
    <w:p w14:paraId="6E65C448" w14:textId="77777777" w:rsidR="00565854" w:rsidRDefault="00000000">
      <w:pPr>
        <w:pStyle w:val="Compact"/>
        <w:numPr>
          <w:ilvl w:val="0"/>
          <w:numId w:val="4"/>
        </w:numPr>
      </w:pPr>
      <w:r>
        <w:t>Analysis 2 (</w:t>
      </w:r>
      <w:r>
        <w:rPr>
          <w:rStyle w:val="VerbatimChar"/>
        </w:rPr>
        <w:t>scripts/S12_case_study_2.R</w:t>
      </w:r>
      <w:r>
        <w:t xml:space="preserve">): </w:t>
      </w:r>
      <w:r>
        <w:rPr>
          <w:rStyle w:val="VerbatimChar"/>
        </w:rPr>
        <w:t>iter = 5000</w:t>
      </w:r>
      <w:r>
        <w:t xml:space="preserve"> for key models, </w:t>
      </w:r>
      <w:r>
        <w:rPr>
          <w:rStyle w:val="VerbatimChar"/>
        </w:rPr>
        <w:t>seed = 5654</w:t>
      </w:r>
      <w:r>
        <w:t>, with additional control settings for GP fits.</w:t>
      </w:r>
    </w:p>
    <w:p w14:paraId="5127F72A" w14:textId="77777777" w:rsidR="00565854" w:rsidRDefault="00000000">
      <w:pPr>
        <w:pStyle w:val="Compact"/>
        <w:numPr>
          <w:ilvl w:val="0"/>
          <w:numId w:val="4"/>
        </w:numPr>
      </w:pPr>
      <w:r>
        <w:lastRenderedPageBreak/>
        <w:t>Analysis 3 (</w:t>
      </w:r>
      <w:r>
        <w:rPr>
          <w:rStyle w:val="VerbatimChar"/>
        </w:rPr>
        <w:t>scripts/S16_analysis_3_simulation.R</w:t>
      </w:r>
      <w:r>
        <w:t xml:space="preserve">): </w:t>
      </w:r>
      <w:r>
        <w:rPr>
          <w:rStyle w:val="VerbatimChar"/>
        </w:rPr>
        <w:t>chains = 4</w:t>
      </w:r>
      <w:r>
        <w:t xml:space="preserve">, </w:t>
      </w:r>
      <w:r>
        <w:rPr>
          <w:rStyle w:val="VerbatimChar"/>
        </w:rPr>
        <w:t>iter = 3000</w:t>
      </w:r>
      <w:r>
        <w:t xml:space="preserve">, </w:t>
      </w:r>
      <w:r>
        <w:rPr>
          <w:rStyle w:val="VerbatimChar"/>
        </w:rPr>
        <w:t>warmup = 1500</w:t>
      </w:r>
      <w:r>
        <w:t>, and a separate reproducible seed for each simulated time series.</w:t>
      </w:r>
    </w:p>
    <w:p w14:paraId="0541ED96" w14:textId="77777777" w:rsidR="00565854" w:rsidRDefault="00000000">
      <w:pPr>
        <w:pStyle w:val="Compact"/>
        <w:numPr>
          <w:ilvl w:val="0"/>
          <w:numId w:val="4"/>
        </w:numPr>
      </w:pPr>
      <w:r>
        <w:t xml:space="preserve">Multisite </w:t>
      </w:r>
      <w:r>
        <w:rPr>
          <w:i/>
          <w:iCs/>
        </w:rPr>
        <w:t>Astragalus scaphoides</w:t>
      </w:r>
      <w:r>
        <w:t xml:space="preserve"> robustness analysis (</w:t>
      </w:r>
      <w:r>
        <w:rPr>
          <w:rStyle w:val="VerbatimChar"/>
        </w:rPr>
        <w:t>scripts/S14_case_study_3_astragalus.R</w:t>
      </w:r>
      <w:r>
        <w:t xml:space="preserve">): </w:t>
      </w:r>
      <w:r>
        <w:rPr>
          <w:rStyle w:val="VerbatimChar"/>
        </w:rPr>
        <w:t>iter = 5000</w:t>
      </w:r>
      <w:r>
        <w:t xml:space="preserve">, </w:t>
      </w:r>
      <w:r>
        <w:rPr>
          <w:rStyle w:val="VerbatimChar"/>
        </w:rPr>
        <w:t>seed = 5654</w:t>
      </w:r>
      <w:r>
        <w:t>, using the same GP control settings as Analysis 2 for recruitment models and matched regression settings for the simplified spring-temperature models.</w:t>
      </w:r>
    </w:p>
    <w:p w14:paraId="4D44597A" w14:textId="77777777" w:rsidR="00565854" w:rsidRDefault="00000000">
      <w:pPr>
        <w:pStyle w:val="Heading2"/>
      </w:pPr>
      <w:bookmarkStart w:id="10" w:name="Xfc1757ff7d617a25f149ff0e411af1965911e9e"/>
      <w:bookmarkStart w:id="11" w:name="_Toc241068417"/>
      <w:bookmarkEnd w:id="8"/>
      <w:r>
        <w:t>S1.5 Comparison of point-estimate and posterior-mean variance</w:t>
      </w:r>
      <w:bookmarkEnd w:id="11"/>
    </w:p>
    <w:p w14:paraId="522969D2" w14:textId="77777777" w:rsidR="00565854" w:rsidRDefault="00000000">
      <w:pPr>
        <w:pStyle w:val="FirstParagraph"/>
      </w:pPr>
      <w:r>
        <w:t>For each parameter, we compared variance across population-level MPM entries using:</w:t>
      </w:r>
    </w:p>
    <w:p w14:paraId="19CD8897" w14:textId="77777777" w:rsidR="00565854" w:rsidRDefault="00000000">
      <w:pPr>
        <w:pStyle w:val="Compact"/>
        <w:numPr>
          <w:ilvl w:val="0"/>
          <w:numId w:val="5"/>
        </w:numPr>
      </w:pPr>
      <w:r>
        <w:t xml:space="preserve">the value derived from each matrix point estimate,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p</m:t>
            </m:r>
          </m:sub>
        </m:sSub>
      </m:oMath>
      <w:r>
        <w:t>;</w:t>
      </w:r>
    </w:p>
    <w:p w14:paraId="7CFDC086" w14:textId="77777777" w:rsidR="00565854" w:rsidRDefault="00000000">
      <w:pPr>
        <w:pStyle w:val="Compact"/>
        <w:numPr>
          <w:ilvl w:val="0"/>
          <w:numId w:val="5"/>
        </w:numPr>
      </w:pPr>
      <w:r>
        <w:t xml:space="preserve">the mean of its reconstructed posterior distribution,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p</m:t>
            </m:r>
          </m:sub>
        </m:sSub>
      </m:oMath>
      <w:r>
        <w:t>.</w:t>
      </w:r>
    </w:p>
    <w:p w14:paraId="2DCFD34F" w14:textId="77777777" w:rsidR="00565854" w:rsidRDefault="00000000">
      <w:pPr>
        <w:pStyle w:val="FirstParagraph"/>
      </w:pPr>
      <w:r>
        <w:t xml:space="preserve">For population-level entries </w:t>
      </w:r>
      <m:oMath>
        <m:r>
          <w:rPr>
            <w:rFonts w:ascii="Cambria Math" w:hAnsi="Cambria Math"/>
          </w:rPr>
          <m:t>p</m:t>
        </m:r>
      </m:oMath>
      <w:r>
        <w:t>, the reported ratio is Eq. (1):</w:t>
      </w:r>
    </w:p>
    <w:p w14:paraId="18EA567E" w14:textId="77777777" w:rsidR="00565854" w:rsidRDefault="00000000">
      <w:pPr>
        <w:pStyle w:val="BodyText"/>
      </w:pPr>
      <m:oMathPara>
        <m:oMathParaPr>
          <m:jc m:val="center"/>
        </m:oMathParaPr>
        <m:oMath>
          <m:r>
            <m:rPr>
              <m:nor/>
            </m:rPr>
            <m:t>ratio</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Var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p</m:t>
                  </m:r>
                </m:sub>
              </m:sSub>
              <m:r>
                <m:rPr>
                  <m:sty m:val="p"/>
                </m:rPr>
                <w:rPr>
                  <w:rFonts w:ascii="Cambria Math" w:hAnsi="Cambria Math"/>
                </w:rPr>
                <m:t>)</m:t>
              </m:r>
            </m:num>
            <m:den>
              <m:sSub>
                <m:sSubPr>
                  <m:ctrlPr>
                    <w:rPr>
                      <w:rFonts w:ascii="Cambria Math" w:hAnsi="Cambria Math"/>
                    </w:rPr>
                  </m:ctrlPr>
                </m:sSubPr>
                <m:e>
                  <m:r>
                    <m:rPr>
                      <m:sty m:val="p"/>
                    </m:rPr>
                    <w:rPr>
                      <w:rFonts w:ascii="Cambria Math" w:hAnsi="Cambria Math"/>
                    </w:rPr>
                    <m:t>Var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p</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104DC9D" w14:textId="77777777" w:rsidR="00565854" w:rsidRDefault="00000000">
      <w:pPr>
        <w:pStyle w:val="FirstParagraph"/>
      </w:pPr>
      <w:r>
        <w:t>Ratios above 1 indicate that point estimates are more dispersed than posterior means. We obtained 95% intervals by resampling population-level entries with replacement 2,000 times, keeping each point estimate paired with its posterior mean. This descriptive ratio does not say how much of that spread is due to sampling noise rather than genuine biological differences.</w:t>
      </w:r>
    </w:p>
    <w:p w14:paraId="62905FC1" w14:textId="77777777" w:rsidR="00565854" w:rsidRDefault="00000000">
      <w:pPr>
        <w:pStyle w:val="Heading2"/>
      </w:pPr>
      <w:bookmarkStart w:id="12" w:name="Xd7a7a8d66a1e6f263c81c5cc18647f0f4d19afb"/>
      <w:bookmarkStart w:id="13" w:name="_Toc241068418"/>
      <w:bookmarkEnd w:id="10"/>
      <w:r>
        <w:t>S1.6 Simplified spring-temperature model (Analysis 2)</w:t>
      </w:r>
      <w:bookmarkEnd w:id="13"/>
    </w:p>
    <w:p w14:paraId="57B65E88" w14:textId="77777777" w:rsidR="00565854" w:rsidRDefault="00000000">
      <w:pPr>
        <w:pStyle w:val="FirstParagraph"/>
      </w:pPr>
      <w:r>
        <w:t>In addition to the monthly-lagged GP model, we fit a simplified spring summary model with mean spring temperature deviation as the predictor, under both point-estimate and uncertainty-aware formulations. The contrasts reported in the manuscript use posterior medians and 95% interval widths from these paired models.</w:t>
      </w:r>
    </w:p>
    <w:p w14:paraId="0A556512" w14:textId="77777777" w:rsidR="00565854" w:rsidRDefault="00000000">
      <w:pPr>
        <w:pStyle w:val="BodyText"/>
      </w:pPr>
      <w:r>
        <w:lastRenderedPageBreak/>
        <w:t xml:space="preserve">For the stage-specific survival panel in Analysis 2 (Fig. 5C), we derived annual stage-specific survival as the column sums of the </w:t>
      </w:r>
      <m:oMath>
        <m:r>
          <w:rPr>
            <w:rFonts w:ascii="Cambria Math" w:hAnsi="Cambria Math"/>
          </w:rPr>
          <m:t>U</m:t>
        </m:r>
      </m:oMath>
      <w:r>
        <w:t xml:space="preserve"> matrix for each year and stage, then compared two logit-scale models per stage: (i) a stable-stage distribution (SSD)-weighted quasibinomial point-estimate model, </w:t>
      </w:r>
      <m:oMath>
        <m:r>
          <m:rPr>
            <m:nor/>
          </m:rPr>
          <m:t>surv</m:t>
        </m:r>
        <m:r>
          <m:rPr>
            <m:sty m:val="p"/>
          </m:rPr>
          <w:rPr>
            <w:rFonts w:ascii="Cambria Math" w:hAnsi="Cambria Math"/>
          </w:rPr>
          <m:t>∼</m:t>
        </m:r>
        <m:r>
          <m:rPr>
            <m:nor/>
          </m:rPr>
          <m:t>tmp</m:t>
        </m:r>
      </m:oMath>
      <w:r>
        <w:t xml:space="preserve">, where weights are the stable stage distribution from each annual </w:t>
      </w:r>
      <m:oMath>
        <m:r>
          <w:rPr>
            <w:rFonts w:ascii="Cambria Math" w:hAnsi="Cambria Math"/>
          </w:rPr>
          <m:t>U</m:t>
        </m:r>
      </m:oMath>
      <w:r>
        <w:t xml:space="preserve"> matrix; and (ii) a binomial count model, </w:t>
      </w:r>
      <m:oMath>
        <m:r>
          <m:rPr>
            <m:nor/>
          </m:rPr>
          <m:t>cbind</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surv</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fail</m:t>
            </m:r>
          </m:sub>
        </m:sSub>
        <m:r>
          <m:rPr>
            <m:sty m:val="p"/>
          </m:rPr>
          <w:rPr>
            <w:rFonts w:ascii="Cambria Math" w:hAnsi="Cambria Math"/>
          </w:rPr>
          <m:t>)∼</m:t>
        </m:r>
        <m:r>
          <m:rPr>
            <m:nor/>
          </m:rPr>
          <m:t>tmp</m:t>
        </m:r>
      </m:oMath>
      <w:r>
        <w:t xml:space="preserve">, where </w:t>
      </w:r>
      <m:oMath>
        <m:sSub>
          <m:sSubPr>
            <m:ctrlPr>
              <w:rPr>
                <w:rFonts w:ascii="Cambria Math" w:hAnsi="Cambria Math"/>
              </w:rPr>
            </m:ctrlPr>
          </m:sSubPr>
          <m:e>
            <m:r>
              <w:rPr>
                <w:rFonts w:ascii="Cambria Math" w:hAnsi="Cambria Math"/>
              </w:rPr>
              <m:t>n</m:t>
            </m:r>
          </m:e>
          <m:sub>
            <m:r>
              <m:rPr>
                <m:nor/>
              </m:rPr>
              <m:t>surv</m:t>
            </m:r>
          </m:sub>
        </m:sSub>
      </m:oMath>
      <w:r>
        <w:t xml:space="preserve"> and </w:t>
      </w:r>
      <m:oMath>
        <m:sSub>
          <m:sSubPr>
            <m:ctrlPr>
              <w:rPr>
                <w:rFonts w:ascii="Cambria Math" w:hAnsi="Cambria Math"/>
              </w:rPr>
            </m:ctrlPr>
          </m:sSubPr>
          <m:e>
            <m:r>
              <w:rPr>
                <w:rFonts w:ascii="Cambria Math" w:hAnsi="Cambria Math"/>
              </w:rPr>
              <m:t>n</m:t>
            </m:r>
          </m:e>
          <m:sub>
            <m:r>
              <m:rPr>
                <m:nor/>
              </m:rPr>
              <m:t>fail</m:t>
            </m:r>
          </m:sub>
        </m:sSub>
      </m:oMath>
      <w:r>
        <w:t xml:space="preserve"> are survived and non-survived counts implied by stage sample size and </w:t>
      </w:r>
      <m:oMath>
        <m:r>
          <w:rPr>
            <w:rFonts w:ascii="Cambria Math" w:hAnsi="Cambria Math"/>
          </w:rPr>
          <m:t>U</m:t>
        </m:r>
      </m:oMath>
      <w:r>
        <w:t>-column survival probability. The quasibinomial model estimates dispersion, whereas the binomial model fixes it at 1; together with the different weights, this prevents attributing interval-width differences solely to sampling uncertainty. Intervals are coefficient estimates ± 1.96 standard errors (95% Wald confidence intervals). Stages failing the fitting criteria (at least five usable years, variation in temperature, and both survivors and deaths) are labelled as not estimable.</w:t>
      </w:r>
    </w:p>
    <w:p w14:paraId="091318F7" w14:textId="77777777" w:rsidR="00565854" w:rsidRDefault="00000000">
      <w:pPr>
        <w:pStyle w:val="Heading2"/>
      </w:pPr>
      <w:bookmarkStart w:id="14" w:name="Xabdd8963e3bf675488f85ec63330b0c7b06d635"/>
      <w:bookmarkStart w:id="15" w:name="_Toc241068419"/>
      <w:bookmarkEnd w:id="12"/>
      <w:r>
        <w:t>S1.7 Reporting recommendations for future MPM studies</w:t>
      </w:r>
      <w:bookmarkEnd w:id="15"/>
    </w:p>
    <w:p w14:paraId="3CB182C3" w14:textId="77777777" w:rsidR="00565854" w:rsidRDefault="00000000">
      <w:pPr>
        <w:pStyle w:val="FirstParagraph"/>
      </w:pPr>
      <w:r>
        <w:t>To support uncertainty propagation in secondary analyses, primary studies should report (at a minimum):</w:t>
      </w:r>
    </w:p>
    <w:p w14:paraId="00F2542D" w14:textId="77777777" w:rsidR="00565854" w:rsidRDefault="00000000">
      <w:pPr>
        <w:pStyle w:val="Compact"/>
        <w:numPr>
          <w:ilvl w:val="0"/>
          <w:numId w:val="6"/>
        </w:numPr>
      </w:pPr>
      <w:r>
        <w:t>transition-level sample sizes for each matrix element (or reconstructable transition count tables);</w:t>
      </w:r>
    </w:p>
    <w:p w14:paraId="6B93F3F3" w14:textId="77777777" w:rsidR="00565854" w:rsidRDefault="00000000">
      <w:pPr>
        <w:pStyle w:val="Compact"/>
        <w:numPr>
          <w:ilvl w:val="0"/>
          <w:numId w:val="6"/>
        </w:numPr>
      </w:pPr>
      <w:r>
        <w:t>clear identification of pooled/mean matrices and pooling rules;</w:t>
      </w:r>
    </w:p>
    <w:p w14:paraId="2602948F" w14:textId="77777777" w:rsidR="00565854" w:rsidRDefault="00000000">
      <w:pPr>
        <w:pStyle w:val="Compact"/>
        <w:numPr>
          <w:ilvl w:val="0"/>
          <w:numId w:val="6"/>
        </w:numPr>
      </w:pPr>
      <w:r>
        <w:t>uncertainty estimates on model-appropriate scales (e.g. linear predictor where relevant);</w:t>
      </w:r>
    </w:p>
    <w:p w14:paraId="4C0A0ABD" w14:textId="77777777" w:rsidR="00565854" w:rsidRDefault="00000000">
      <w:pPr>
        <w:pStyle w:val="Compact"/>
        <w:numPr>
          <w:ilvl w:val="0"/>
          <w:numId w:val="6"/>
        </w:numPr>
      </w:pPr>
      <w:r>
        <w:t>explicit projection interval, stage definitions, and treatment filters used to derive published matrices.</w:t>
      </w:r>
    </w:p>
    <w:p w14:paraId="384AD7DE" w14:textId="77777777" w:rsidR="00565854" w:rsidRDefault="00000000">
      <w:pPr>
        <w:pStyle w:val="FirstParagraph"/>
      </w:pPr>
      <w:r>
        <w:t>These items are usually sufficient for parametric uncertainty reconstruction in compiled databases.</w:t>
      </w:r>
    </w:p>
    <w:p w14:paraId="2A482602" w14:textId="77777777" w:rsidR="00565854" w:rsidRDefault="00000000">
      <w:pPr>
        <w:pStyle w:val="Heading2"/>
      </w:pPr>
      <w:bookmarkStart w:id="16" w:name="X47703751242b127b4a1e2b5ffd15841293c0ccc"/>
      <w:bookmarkStart w:id="17" w:name="_Toc241068420"/>
      <w:bookmarkEnd w:id="14"/>
      <w:r>
        <w:lastRenderedPageBreak/>
        <w:t>S1.8 Included versus excluded studies in the current target-study screen</w:t>
      </w:r>
      <w:bookmarkEnd w:id="17"/>
    </w:p>
    <w:p w14:paraId="2CE6E3B5" w14:textId="77777777" w:rsidR="00565854" w:rsidRDefault="00000000">
      <w:pPr>
        <w:pStyle w:val="FirstParagraph"/>
      </w:pPr>
      <w:r>
        <w:t xml:space="preserve">To assess whether the studies retained for uncertainty analysis differed systematically from those screened but not retained, we compared the 23 post-2010 studies in the final dataset that still fall within the current reproducible COMPADRE screen against the remaining 69 screened studies. For each study, we summarized mean matrix dimension, mean stage-specific survival (the average of </w:t>
      </w:r>
      <m:oMath>
        <m:r>
          <w:rPr>
            <w:rFonts w:ascii="Cambria Math" w:hAnsi="Cambria Math"/>
          </w:rPr>
          <m:t>U</m:t>
        </m:r>
      </m:oMath>
      <w:r>
        <w:t xml:space="preserve">-column survival probabilities across matrices), and the proportions of stage-specific survival estimates equal to 0, equal to 1, or at either boundary. Dominant life form was defined as the modal </w:t>
      </w:r>
      <w:r>
        <w:rPr>
          <w:rStyle w:val="VerbatimChar"/>
        </w:rPr>
        <w:t>OrganismType</w:t>
      </w:r>
      <w:r>
        <w:t xml:space="preserve"> among a study’s matrices. Three additional post-2010 studies in the final dataset do not fall within the current screen under COMPADRE version 6.26.3.0 (created Mar_11_2026) (</w:t>
      </w:r>
      <w:r>
        <w:rPr>
          <w:i/>
          <w:iCs/>
        </w:rPr>
        <w:t>Paeonia officinalis</w:t>
      </w:r>
      <w:r>
        <w:t xml:space="preserve">, </w:t>
      </w:r>
      <w:r>
        <w:rPr>
          <w:i/>
          <w:iCs/>
        </w:rPr>
        <w:t>Tillandsia butzii</w:t>
      </w:r>
      <w:r>
        <w:t xml:space="preserve">, </w:t>
      </w:r>
      <w:r>
        <w:rPr>
          <w:i/>
          <w:iCs/>
        </w:rPr>
        <w:t>Lantana camara</w:t>
      </w:r>
      <w:r>
        <w:t>), and five further studies were pre-2010 additions assembled on the basis of temporal replication (at least four annual matrices); these eight studies were excluded from this screen-based comparison. The requirement of at least four annual matrices applied only to those five pre-2010 studies, which were added to support the time-series analyses; it was not a selection criterion for the full 31-study dataset used across all analyses.</w:t>
      </w:r>
    </w:p>
    <w:p w14:paraId="30BA6D72" w14:textId="77777777" w:rsidR="00565854" w:rsidRDefault="00000000">
      <w:pPr>
        <w:pStyle w:val="Heading2"/>
      </w:pPr>
      <w:bookmarkStart w:id="18" w:name="Xa94d0151380c98c8f0742d728782bf95f083eb5"/>
      <w:bookmarkStart w:id="19" w:name="_Toc241068421"/>
      <w:bookmarkEnd w:id="16"/>
      <w:r>
        <w:t>S1.9 Study and species identities in Analysis 1</w:t>
      </w:r>
      <w:bookmarkEnd w:id="19"/>
    </w:p>
    <w:p w14:paraId="7B058E52" w14:textId="77777777" w:rsidR="00565854" w:rsidRDefault="00000000">
      <w:pPr>
        <w:pStyle w:val="FirstParagraph"/>
      </w:pPr>
      <w:r>
        <w:t xml:space="preserve">The Analysis 1 life expectancy-shape models used 68 population-level matrix entries representing 25 species. This is a different subset from the boundary/small-sample audit in section S1.11. Study-level and species-level identities (including COMPADRE </w:t>
      </w:r>
      <w:r>
        <w:rPr>
          <w:rStyle w:val="VerbatimChar"/>
        </w:rPr>
        <w:t>SpeciesAuthor</w:t>
      </w:r>
      <w:r>
        <w:t xml:space="preserve"> labels) are provided in Table S6.</w:t>
      </w:r>
    </w:p>
    <w:p w14:paraId="1F31CCD0" w14:textId="77777777" w:rsidR="00565854" w:rsidRDefault="00000000">
      <w:pPr>
        <w:pStyle w:val="Heading2"/>
      </w:pPr>
      <w:bookmarkStart w:id="20" w:name="Xe17a52e6c92e8ef1d01ed7772a11f9653dc0919"/>
      <w:bookmarkStart w:id="21" w:name="_Toc241068422"/>
      <w:bookmarkEnd w:id="18"/>
      <w:r>
        <w:t>S1.10 Multisite robustness extension of Analysis 2 (Astragalus scaphoides)</w:t>
      </w:r>
      <w:bookmarkEnd w:id="21"/>
    </w:p>
    <w:p w14:paraId="548B0620" w14:textId="77777777" w:rsidR="00565854" w:rsidRDefault="00000000">
      <w:pPr>
        <w:pStyle w:val="FirstParagraph"/>
      </w:pPr>
      <w:r>
        <w:t xml:space="preserve">To evaluate whether the Analysis 2 conclusions generalised across populations, we repeated the same paired modelling framework for all available </w:t>
      </w:r>
      <w:r>
        <w:rPr>
          <w:i/>
          <w:iCs/>
        </w:rPr>
        <w:t>Astragalus scaphoides</w:t>
      </w:r>
      <w:r>
        <w:t xml:space="preserve"> sites with sufficient annual coverage as a supplementary robustness analysis. For each site, we fit (i) a point-estimate model </w:t>
      </w:r>
      <w:r>
        <w:lastRenderedPageBreak/>
        <w:t>and (ii) a sampling-uncertainty model for recruitment-temperature relationships, using both the monthly-lag Gaussian-process specification and the simplified spring-temperature specification. We then compared posterior medians and 95% intervals between model formulations within site. This design compares model formulations within each site rather than isolating the contribution of uncertainty propagation.</w:t>
      </w:r>
    </w:p>
    <w:p w14:paraId="7476ED29" w14:textId="77777777" w:rsidR="00565854" w:rsidRDefault="00000000">
      <w:pPr>
        <w:pStyle w:val="BodyText"/>
      </w:pPr>
      <w:r>
        <w:t>For stage-specific survival in this supplementary robustness analysis, we used the same pair of formulations as in Analysis 2: an SSD-weighted quasibinomial point-estimate model (</w:t>
      </w:r>
      <m:oMath>
        <m:r>
          <m:rPr>
            <m:nor/>
          </m:rPr>
          <m:t>surv</m:t>
        </m:r>
        <m:r>
          <m:rPr>
            <m:sty m:val="p"/>
          </m:rPr>
          <w:rPr>
            <w:rFonts w:ascii="Cambria Math" w:hAnsi="Cambria Math"/>
          </w:rPr>
          <m:t>∼</m:t>
        </m:r>
        <m:r>
          <m:rPr>
            <m:nor/>
          </m:rPr>
          <m:t>tmp</m:t>
        </m:r>
      </m:oMath>
      <w:r>
        <w:t xml:space="preserve">, weights from the stable stage distribution of each annual </w:t>
      </w:r>
      <m:oMath>
        <m:r>
          <w:rPr>
            <w:rFonts w:ascii="Cambria Math" w:hAnsi="Cambria Math"/>
          </w:rPr>
          <m:t>U</m:t>
        </m:r>
      </m:oMath>
      <w:r>
        <w:t xml:space="preserve"> matrix) and a binomial count model (</w:t>
      </w:r>
      <m:oMath>
        <m:r>
          <m:rPr>
            <m:nor/>
          </m:rPr>
          <m:t>cbind</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surv</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fail</m:t>
            </m:r>
          </m:sub>
        </m:sSub>
        <m:r>
          <m:rPr>
            <m:sty m:val="p"/>
          </m:rPr>
          <w:rPr>
            <w:rFonts w:ascii="Cambria Math" w:hAnsi="Cambria Math"/>
          </w:rPr>
          <m:t>)∼</m:t>
        </m:r>
        <m:r>
          <m:rPr>
            <m:nor/>
          </m:rPr>
          <m:t>tmp</m:t>
        </m:r>
      </m:oMath>
      <w:r>
        <w:t>). The linear predictor and logit link are shared, but weighting and dispersion assumptions also differ, as described in section S1.6; the comparison therefore does not isolate sampling uncertainty.</w:t>
      </w:r>
    </w:p>
    <w:p w14:paraId="1175418C" w14:textId="77777777" w:rsidR="00565854" w:rsidRDefault="00000000">
      <w:pPr>
        <w:pStyle w:val="BodyText"/>
      </w:pPr>
      <w:r>
        <w:t xml:space="preserve">For sensitivity analyses intended to mimic database-only use (no access to true stage sample sizes), we re-fit stage-specific point-estimate models under two alternatives: (i) no weighting and (ii) SSD weighting derived from each annual </w:t>
      </w:r>
      <m:oMath>
        <m:r>
          <w:rPr>
            <w:rFonts w:ascii="Cambria Math" w:hAnsi="Cambria Math"/>
          </w:rPr>
          <m:t>U</m:t>
        </m:r>
      </m:oMath>
      <w:r>
        <w:t xml:space="preserve"> matrix.</w:t>
      </w:r>
    </w:p>
    <w:p w14:paraId="5A6050E1" w14:textId="77777777" w:rsidR="00565854" w:rsidRDefault="00000000">
      <w:pPr>
        <w:pStyle w:val="Heading2"/>
      </w:pPr>
      <w:bookmarkStart w:id="22" w:name="Xe9072593a476435e14aed5e55ee802bcf07fa9c"/>
      <w:bookmarkStart w:id="23" w:name="_Toc241068423"/>
      <w:bookmarkEnd w:id="20"/>
      <w:r>
        <w:t>S1.11 Boundary survival estimates and small stage-specific sample sizes in Analysis 1</w:t>
      </w:r>
      <w:bookmarkEnd w:id="23"/>
    </w:p>
    <w:p w14:paraId="3C0BAA58" w14:textId="77777777" w:rsidR="00565854" w:rsidRDefault="00000000">
      <w:pPr>
        <w:pStyle w:val="FirstParagraph"/>
      </w:pPr>
      <w:r>
        <w:t xml:space="preserve">To assess whether the conditions most likely to distort point estimates were concentrated in particular parts of the Analysis 1 dataset, we summarized a separate set of 68 population-level entries from 28 species with recovered stage counts by COMPADRE </w:t>
      </w:r>
      <w:r>
        <w:rPr>
          <w:rStyle w:val="VerbatimChar"/>
        </w:rPr>
        <w:t>OrganismType</w:t>
      </w:r>
      <w:r>
        <w:t xml:space="preserve"> (used here as the available life-form grouping) and by broad matrix-dimension class (3-5 versus 6+ stages). For each population-level matrix, we recorded whether any stage-specific survival estimate lay exactly on the boundary (0 or 1), whether any stage had </w:t>
      </w:r>
      <m:oMath>
        <m:r>
          <w:rPr>
            <w:rFonts w:ascii="Cambria Math" w:hAnsi="Cambria Math"/>
          </w:rPr>
          <m:t>N</m:t>
        </m:r>
        <m:r>
          <m:rPr>
            <m:sty m:val="p"/>
          </m:rPr>
          <w:rPr>
            <w:rFonts w:ascii="Cambria Math" w:hAnsi="Cambria Math"/>
          </w:rPr>
          <m:t>&lt;</m:t>
        </m:r>
        <m:r>
          <w:rPr>
            <w:rFonts w:ascii="Cambria Math" w:hAnsi="Cambria Math"/>
          </w:rPr>
          <m:t>20</m:t>
        </m:r>
      </m:oMath>
      <w:r>
        <w:t xml:space="preserve"> or </w:t>
      </w:r>
      <m:oMath>
        <m:r>
          <w:rPr>
            <w:rFonts w:ascii="Cambria Math" w:hAnsi="Cambria Math"/>
          </w:rPr>
          <m:t>N</m:t>
        </m:r>
        <m:r>
          <m:rPr>
            <m:sty m:val="p"/>
          </m:rPr>
          <w:rPr>
            <w:rFonts w:ascii="Cambria Math" w:hAnsi="Cambria Math"/>
          </w:rPr>
          <m:t>&lt;</m:t>
        </m:r>
        <m:r>
          <w:rPr>
            <w:rFonts w:ascii="Cambria Math" w:hAnsi="Cambria Math"/>
          </w:rPr>
          <m:t>50</m:t>
        </m:r>
      </m:oMath>
      <w:r>
        <w:t xml:space="preserve">, and the minimum stage-specific sample size. This audit used unscaled </w:t>
      </w:r>
      <m:oMath>
        <m:r>
          <w:rPr>
            <w:rFonts w:ascii="Cambria Math" w:hAnsi="Cambria Math"/>
          </w:rPr>
          <m:t>U</m:t>
        </m:r>
      </m:oMath>
      <w:r>
        <w:t xml:space="preserve"> matrices, with exactly 100% survival in 22/68 entries, rather than the rescaled matrices and model subset described in the main </w:t>
      </w:r>
      <w:r>
        <w:lastRenderedPageBreak/>
        <w:t>Discussion. These summaries are descriptive and intended to identify where potentially fragile point estimates are concentrated in the analysed subset.</w:t>
      </w:r>
    </w:p>
    <w:p w14:paraId="2692CD4F" w14:textId="77777777" w:rsidR="00565854" w:rsidRDefault="00000000">
      <w:pPr>
        <w:pStyle w:val="Heading2"/>
      </w:pPr>
      <w:bookmarkStart w:id="24" w:name="Xbcc0c51d82b2bf49c697952fc977fc249429e0d"/>
      <w:bookmarkStart w:id="25" w:name="_Toc241068424"/>
      <w:bookmarkEnd w:id="22"/>
      <w:r>
        <w:t>S1.12 Displacement magnitude versus boundary survival structure</w:t>
      </w:r>
      <w:bookmarkEnd w:id="25"/>
    </w:p>
    <w:p w14:paraId="68DB1348" w14:textId="77777777" w:rsidR="00565854" w:rsidRDefault="00000000">
      <w:pPr>
        <w:pStyle w:val="FirstParagraph"/>
      </w:pPr>
      <w:r>
        <w:t xml:space="preserve">To examine factors associated with point-estimate displacement in Analysis 1, we compared each population-level point estimate to the median of its sampling distribution for mature life expectancy and shape. We defined displacement magnitude as the absolute difference between the point estimate and the sampling-distribution median; for life expectancy, this was calculated on the </w:t>
      </w: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oMath>
      <w:r>
        <w:t xml:space="preserve"> scale to reflect multiplicative discrepancies. We then related displacement magnitude to two predictors derived from the same population-level matrix: (i) the number of stage-specific survival estimates at the boundary (0 or 1), and (ii) the proportion of observed individuals belonging to boundary-survival stages, calculated from the recovered stage-specific sample sizes. We summarized these relationships with simple linear regressions and visualized them with scatter plots and fitted lines.</w:t>
      </w:r>
    </w:p>
    <w:p w14:paraId="377FAB37" w14:textId="77777777" w:rsidR="00565854" w:rsidRDefault="00000000">
      <w:pPr>
        <w:pStyle w:val="Heading2"/>
      </w:pPr>
      <w:bookmarkStart w:id="26" w:name="Xf7ef802071fd8b0eb2240598c3d62456b26e111"/>
      <w:bookmarkStart w:id="27" w:name="_Toc241068425"/>
      <w:bookmarkEnd w:id="24"/>
      <w:r>
        <w:t>S1.13 Sensitivity to the quasi-stable-distribution truncation threshold</w:t>
      </w:r>
      <w:bookmarkEnd w:id="27"/>
    </w:p>
    <w:p w14:paraId="37D832B3" w14:textId="77777777" w:rsidR="00565854" w:rsidRDefault="00000000">
      <w:pPr>
        <w:pStyle w:val="FirstParagraph"/>
      </w:pPr>
      <w:r>
        <w:t xml:space="preserve">To assess whether the shape metric was sensitive to the truncation rule used to avoid artefactual mortality plateaus, we repeated the Analysis 1 shape calculation using quasi-stable-distribution convergence thresholds of 0.5% and 5%, alongside the 1% threshold used in the main analysis. For each population-level MPM that remained estimable under all three thresholds, we recalculated the point estimate of shape and the posterior uncertainty summary using the threshold-specific truncation age </w:t>
      </w:r>
      <m:oMath>
        <m:r>
          <w:rPr>
            <w:rFonts w:ascii="Cambria Math" w:hAnsi="Cambria Math"/>
          </w:rPr>
          <m:t>q</m:t>
        </m:r>
      </m:oMath>
      <w:r>
        <w:t xml:space="preserve">. We then compared the resulting shape estimates to the 1% baseline using pairwise correlations, absolute differences, sign changes around zero, and shifts in </w:t>
      </w:r>
      <m:oMath>
        <m:r>
          <w:rPr>
            <w:rFonts w:ascii="Cambria Math" w:hAnsi="Cambria Math"/>
          </w:rPr>
          <m:t>q</m:t>
        </m:r>
      </m:oMath>
      <w:r>
        <w:t>.</w:t>
      </w:r>
    </w:p>
    <w:p w14:paraId="7C1DCF12" w14:textId="77777777" w:rsidR="00565854" w:rsidRDefault="00000000">
      <w:pPr>
        <w:pStyle w:val="Heading1"/>
      </w:pPr>
      <w:bookmarkStart w:id="28" w:name="supplementary-results"/>
      <w:bookmarkStart w:id="29" w:name="_Toc241068426"/>
      <w:bookmarkEnd w:id="0"/>
      <w:bookmarkEnd w:id="26"/>
      <w:r>
        <w:lastRenderedPageBreak/>
        <w:t>Supplementary Results</w:t>
      </w:r>
      <w:bookmarkEnd w:id="29"/>
    </w:p>
    <w:p w14:paraId="1E9DE1C6" w14:textId="77777777" w:rsidR="00565854" w:rsidRDefault="00000000">
      <w:pPr>
        <w:pStyle w:val="Heading2"/>
      </w:pPr>
      <w:bookmarkStart w:id="30" w:name="Xb9dbb5729d5192ad1efcc753c5a6a6c3d38d456"/>
      <w:bookmarkStart w:id="31" w:name="_Toc241068427"/>
      <w:r>
        <w:t>S2.1 Sensitivity to point-estimate weighting choice</w:t>
      </w:r>
      <w:bookmarkEnd w:id="31"/>
    </w:p>
    <w:p w14:paraId="29EB228D" w14:textId="77777777" w:rsidR="00565854" w:rsidRDefault="00000000">
      <w:pPr>
        <w:pStyle w:val="FirstParagraph"/>
      </w:pPr>
      <w:r>
        <w:t>Across estimable stages in Analysis 2, switching from no weighting to SSD weighting changed temperature-coefficient medians by at most 0.142 on the logit scale, with interval widths changing by -0.045 to 0.614 (Table S9).</w:t>
      </w:r>
    </w:p>
    <w:p w14:paraId="3C9948D9" w14:textId="77777777" w:rsidR="00565854" w:rsidRDefault="00000000">
      <w:pPr>
        <w:pStyle w:val="BodyText"/>
      </w:pPr>
      <w:r>
        <w:t xml:space="preserve">Across estimable site-stage combinations in the </w:t>
      </w:r>
      <w:r>
        <w:rPr>
          <w:i/>
          <w:iCs/>
        </w:rPr>
        <w:t>Astragalus</w:t>
      </w:r>
      <w:r>
        <w:t xml:space="preserve"> robustness analysis, the corresponding maximum absolute median shift was 0.912, and interval-width differences ranged from -0.512 to 1.526 (Table S10). These sensitivity checks show how weighting assumptions alter point-estimate uncertainty when true stage sample sizes are unavailable.</w:t>
      </w:r>
    </w:p>
    <w:p w14:paraId="5F8C8D90" w14:textId="77777777" w:rsidR="00565854" w:rsidRDefault="00000000">
      <w:pPr>
        <w:pStyle w:val="Heading2"/>
      </w:pPr>
      <w:bookmarkStart w:id="32" w:name="Xbaa2cca937d931f3cba9ff2d2cda76629e04fa8"/>
      <w:bookmarkStart w:id="33" w:name="_Toc241068428"/>
      <w:bookmarkEnd w:id="30"/>
      <w:r>
        <w:t>S2.2 Where do boundary estimates and small stage counts occur?</w:t>
      </w:r>
      <w:bookmarkEnd w:id="33"/>
    </w:p>
    <w:p w14:paraId="2E1FBA42" w14:textId="77777777" w:rsidR="00565854" w:rsidRDefault="00000000">
      <w:pPr>
        <w:pStyle w:val="FirstParagraph"/>
      </w:pPr>
      <w:r>
        <w:t xml:space="preserve">Among the 68 Analysis 1 population-level entries with recovered stage counts, 42.6% contained at least one boundary survival estimate and 30.9% contained at least one stage estimated from fewer than 20 individuals. These conditions tended to co-occur: the population-level proportion of boundary survival estimates was positively correlated with the proportion of stages having </w:t>
      </w:r>
      <m:oMath>
        <m:r>
          <w:rPr>
            <w:rFonts w:ascii="Cambria Math" w:hAnsi="Cambria Math"/>
          </w:rPr>
          <m:t>N</m:t>
        </m:r>
        <m:r>
          <m:rPr>
            <m:sty m:val="p"/>
          </m:rPr>
          <w:rPr>
            <w:rFonts w:ascii="Cambria Math" w:hAnsi="Cambria Math"/>
          </w:rPr>
          <m:t>&lt;</m:t>
        </m:r>
        <m:r>
          <w:rPr>
            <w:rFonts w:ascii="Cambria Math" w:hAnsi="Cambria Math"/>
          </w:rPr>
          <m:t>20</m:t>
        </m:r>
      </m:oMath>
      <w:r>
        <w:t xml:space="preserve"> (</w:t>
      </w:r>
      <m:oMath>
        <m:r>
          <w:rPr>
            <w:rFonts w:ascii="Cambria Math" w:hAnsi="Cambria Math"/>
          </w:rPr>
          <m:t>r</m:t>
        </m:r>
        <m:r>
          <m:rPr>
            <m:sty m:val="p"/>
          </m:rPr>
          <w:rPr>
            <w:rFonts w:ascii="Cambria Math" w:hAnsi="Cambria Math"/>
          </w:rPr>
          <m:t>=</m:t>
        </m:r>
        <m:r>
          <w:rPr>
            <w:rFonts w:ascii="Cambria Math" w:hAnsi="Cambria Math"/>
          </w:rPr>
          <m:t>0.35</m:t>
        </m:r>
      </m:oMath>
      <w:r>
        <w:t>).</w:t>
      </w:r>
    </w:p>
    <w:p w14:paraId="123953DD" w14:textId="77777777" w:rsidR="00565854" w:rsidRDefault="00000000">
      <w:pPr>
        <w:pStyle w:val="BodyText"/>
      </w:pPr>
      <w:r>
        <w:t xml:space="preserve">By life form, herbaceous perennials made up most of the analysed subset and showed the highest frequency among the well-represented categories, with 45.3% of entries containing at least one boundary survival estimate and 34.0% containing at least one stage with </w:t>
      </w:r>
      <m:oMath>
        <m:r>
          <w:rPr>
            <w:rFonts w:ascii="Cambria Math" w:hAnsi="Cambria Math"/>
          </w:rPr>
          <m:t>N</m:t>
        </m:r>
        <m:r>
          <m:rPr>
            <m:sty m:val="p"/>
          </m:rPr>
          <w:rPr>
            <w:rFonts w:ascii="Cambria Math" w:hAnsi="Cambria Math"/>
          </w:rPr>
          <m:t>&lt;</m:t>
        </m:r>
        <m:r>
          <w:rPr>
            <w:rFonts w:ascii="Cambria Math" w:hAnsi="Cambria Math"/>
          </w:rPr>
          <m:t>20</m:t>
        </m:r>
      </m:oMath>
      <w:r>
        <w:t xml:space="preserve">. Succulents showed lower corresponding values (22.2% and 22.2%, respectively). Woody life forms were too sparsely represented in the final subset for strong conclusions. By matrix dimension, both features were more common in 6+-stage matrices than in 3-5-stage matrices (61.1% versus 36.0% for any boundary estimate; 44.4% versus 26.0% for any stage with </w:t>
      </w:r>
      <m:oMath>
        <m:r>
          <w:rPr>
            <w:rFonts w:ascii="Cambria Math" w:hAnsi="Cambria Math"/>
          </w:rPr>
          <m:t>N</m:t>
        </m:r>
        <m:r>
          <m:rPr>
            <m:sty m:val="p"/>
          </m:rPr>
          <w:rPr>
            <w:rFonts w:ascii="Cambria Math" w:hAnsi="Cambria Math"/>
          </w:rPr>
          <m:t>&lt;</m:t>
        </m:r>
        <m:r>
          <w:rPr>
            <w:rFonts w:ascii="Cambria Math" w:hAnsi="Cambria Math"/>
          </w:rPr>
          <m:t>20</m:t>
        </m:r>
      </m:oMath>
      <w:r>
        <w:t>; Table S12).</w:t>
      </w:r>
    </w:p>
    <w:p w14:paraId="3C530F9D" w14:textId="77777777" w:rsidR="00565854" w:rsidRDefault="00000000">
      <w:pPr>
        <w:pStyle w:val="BodyText"/>
      </w:pPr>
      <w:r>
        <w:lastRenderedPageBreak/>
        <w:t>Boundary survival estimates can arise from finite sampling of discrete stage classes. Finer stage classes do not necessarily reduce these estimates and may leave fewer observations per class. Information sharing in fitted vital-rate models, such as those used to construct integral projection models, may reduce boundary estimates through smoothing rather than finer discretisation alone.</w:t>
      </w:r>
    </w:p>
    <w:p w14:paraId="598ADB11" w14:textId="77777777" w:rsidR="00565854" w:rsidRDefault="00000000">
      <w:pPr>
        <w:pStyle w:val="Heading2"/>
      </w:pPr>
      <w:bookmarkStart w:id="34" w:name="X7f9bc76663c4cdccea08220fb8b2fd536e0535e"/>
      <w:bookmarkStart w:id="35" w:name="_Toc241068429"/>
      <w:bookmarkEnd w:id="32"/>
      <w:r>
        <w:t>S2.3 Does displacement increase with boundary survival structure?</w:t>
      </w:r>
      <w:bookmarkEnd w:id="35"/>
    </w:p>
    <w:p w14:paraId="3F02FDA2" w14:textId="77777777" w:rsidR="00565854" w:rsidRDefault="00000000">
      <w:pPr>
        <w:pStyle w:val="FirstParagraph"/>
      </w:pPr>
      <w:r>
        <w:t xml:space="preserve">Displacement magnitude increased with both measures of boundary-survival structure (Figure S3; Table S13). For shape, the absolute difference between the point estimate and the sampling-distribution median increased with the number of boundary survival stages (slope = 0.010, 95% CI [0.005, 0.016]) and with the proportion of individuals in boundary-survival stages (slope = 0.093, 95% CI [0.043, 0.143]). For mature life expectancy, the same pattern was evident on the </w:t>
      </w: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oMath>
      <w:r>
        <w:t xml:space="preserve"> scale (number of boundary stages: slope = 0.062, 95% CI [0.029, 0.095]; proportion of individuals in boundary-survival stages: slope = 0.672, 95% CI [0.370, 0.974]). The fitted models explained a modest but non-trivial share of the among-matrix variation in displacement magnitude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0.176</m:t>
        </m:r>
        <m:r>
          <m:rPr>
            <m:sty m:val="p"/>
          </m:rPr>
          <w:rPr>
            <w:rFonts w:ascii="Cambria Math" w:hAnsi="Cambria Math"/>
          </w:rPr>
          <m:t>-</m:t>
        </m:r>
        <m:r>
          <w:rPr>
            <w:rFonts w:ascii="Cambria Math" w:hAnsi="Cambria Math"/>
          </w:rPr>
          <m:t>0.242</m:t>
        </m:r>
      </m:oMath>
      <w:r>
        <w:t>). These associations are consistent with the proposed mechanism, but do not establish causality.</w:t>
      </w:r>
    </w:p>
    <w:p w14:paraId="70C8FD40" w14:textId="77777777" w:rsidR="00565854" w:rsidRDefault="00000000">
      <w:pPr>
        <w:pStyle w:val="Heading2"/>
      </w:pPr>
      <w:bookmarkStart w:id="36" w:name="Xca36f9ff4093d12ff246540ac5a05db4c7bd517"/>
      <w:bookmarkStart w:id="37" w:name="_Toc241068430"/>
      <w:bookmarkEnd w:id="34"/>
      <w:r>
        <w:t>S2.4 How sensitive are shape estimates to the truncation threshold?</w:t>
      </w:r>
      <w:bookmarkEnd w:id="37"/>
    </w:p>
    <w:p w14:paraId="69A87270" w14:textId="77777777" w:rsidR="00565854" w:rsidRDefault="00000000">
      <w:pPr>
        <w:pStyle w:val="FirstParagraph"/>
      </w:pPr>
      <w:r>
        <w:t xml:space="preserve">In the 65 population-level entries for which shape was estimable under all three thresholds, the shape metric was highly stable to the quasi-stable-distribution truncation rule (Table S14; Figure S4). Relative to the 1% threshold used in the main analysis, the 0.5% threshold changed point estimates by a median absolute amount of 0.002 and sampling-distribution medians by 0.001. The more permissive 5% threshold produced somewhat larger but still modest shifts (median absolute changes 0.004 and 0.003, respectively), with only 2 point estimates changing sign relative to the 1% baseline. Those sign changes occurred only for populations whose baseline </w:t>
      </w:r>
      <w:r>
        <w:lastRenderedPageBreak/>
        <w:t>shape estimates were already very close to zero. These results indicate that shape estimates were generally stable across the thresholds tested. We did not refit the downstream regressions, so their sensitivity to threshold choice remains untested.</w:t>
      </w:r>
    </w:p>
    <w:p w14:paraId="7E3B2BFE" w14:textId="77777777" w:rsidR="00565854" w:rsidRDefault="00000000">
      <w:pPr>
        <w:pStyle w:val="Heading2"/>
      </w:pPr>
      <w:bookmarkStart w:id="38" w:name="X0b01ca79d9e4593467360b1d50abe8ce91f2738"/>
      <w:bookmarkStart w:id="39" w:name="_Toc241068431"/>
      <w:bookmarkEnd w:id="36"/>
      <w:r>
        <w:t>S2.5 Multisite robustness analysis in Astragalus scaphoides</w:t>
      </w:r>
      <w:bookmarkEnd w:id="39"/>
    </w:p>
    <w:p w14:paraId="3F13B266" w14:textId="77777777" w:rsidR="00565854" w:rsidRDefault="00000000">
      <w:pPr>
        <w:pStyle w:val="FirstParagraph"/>
      </w:pPr>
      <w:r>
        <w:t xml:space="preserve">For recruitment, applying the Analysis 2 framework to three </w:t>
      </w:r>
      <w:r>
        <w:rPr>
          <w:i/>
          <w:iCs/>
        </w:rPr>
        <w:t>Astragalus scaphoides</w:t>
      </w:r>
      <w:r>
        <w:t xml:space="preserve"> populations yielded the same overall pattern: point-estimate and sampling-uncertainty models were closely aligned within site, while differences among sites were more pronounced than differences between model formulations (Figure S5). Across sites, we had 9-11 years of annual demographic records, with 8-10 years retained for model fitting after filtering (0-3 years excluded; Table S7).</w:t>
      </w:r>
    </w:p>
    <w:p w14:paraId="71AFC7F2" w14:textId="77777777" w:rsidR="00565854" w:rsidRDefault="00000000">
      <w:pPr>
        <w:pStyle w:val="BodyText"/>
      </w:pPr>
      <w:r>
        <w:t>For spring-temperature models, posterior medians differed only slightly between formulations (maximum absolute within-site difference: 0.026 on the linear predictor scale), and 95% interval widths changed by only -5.3% to 4.7% across sites (Table S8). Monthly-lag coefficient profiles were likewise highly concordant between formulations, with within-site correlations of posterior medians ranging from 0.992 to 0.997 and a maximum lag-specific median difference of 0.042 (Figure S5). These results support the main-text conclusion from Analysis 2 that climate-effect inference can be robust to transition-rate sampling uncertainty in this empirical setting.</w:t>
      </w:r>
    </w:p>
    <w:p w14:paraId="7F968765" w14:textId="77777777" w:rsidR="00565854" w:rsidRDefault="00000000">
      <w:pPr>
        <w:pStyle w:val="Heading1"/>
      </w:pPr>
      <w:bookmarkStart w:id="40" w:name="supplementary-tables"/>
      <w:bookmarkStart w:id="41" w:name="_Toc241068432"/>
      <w:bookmarkEnd w:id="28"/>
      <w:bookmarkEnd w:id="38"/>
      <w:r>
        <w:t>Supplementary Tables</w:t>
      </w:r>
      <w:bookmarkEnd w:id="41"/>
    </w:p>
    <w:p w14:paraId="4CD530E4" w14:textId="77777777" w:rsidR="00565854" w:rsidRDefault="00000000">
      <w:pPr>
        <w:pStyle w:val="FirstParagraph"/>
      </w:pPr>
      <w:r>
        <w:t xml:space="preserve">Table S1. Single-MPM derived-parameter summary for the focal </w:t>
      </w:r>
      <w:r>
        <w:rPr>
          <w:i/>
          <w:iCs/>
        </w:rPr>
        <w:t>Agrimonia eupatoria</w:t>
      </w:r>
      <w:r>
        <w:t xml:space="preserve"> example. Reported values are point estimates and 95% credible intervals from reconstructed posterior distributions, showing substantial uncertainty for several derived demographic quantities.</w:t>
      </w:r>
    </w:p>
    <w:tbl>
      <w:tblPr>
        <w:tblW w:w="0" w:type="auto"/>
        <w:jc w:val="center"/>
        <w:tblLayout w:type="fixed"/>
        <w:tblLook w:val="0420" w:firstRow="1" w:lastRow="0" w:firstColumn="0" w:lastColumn="0" w:noHBand="0" w:noVBand="1"/>
      </w:tblPr>
      <w:tblGrid>
        <w:gridCol w:w="3743"/>
        <w:gridCol w:w="1132"/>
        <w:gridCol w:w="1511"/>
        <w:gridCol w:w="1511"/>
        <w:gridCol w:w="1805"/>
      </w:tblGrid>
      <w:tr w:rsidR="00565854" w14:paraId="27D24696" w14:textId="77777777">
        <w:trPr>
          <w:tblHeader/>
          <w:jc w:val="center"/>
        </w:trPr>
        <w:tc>
          <w:tcPr>
            <w:tcW w:w="37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C176C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Parameter</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F6122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23FB1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63E0B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c>
          <w:tcPr>
            <w:tcW w:w="18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AFC98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w:t>
            </w:r>
          </w:p>
        </w:tc>
      </w:tr>
      <w:tr w:rsidR="00565854" w14:paraId="4E4D7BBF" w14:textId="77777777">
        <w:trPr>
          <w:jc w:val="center"/>
        </w:trPr>
        <w:tc>
          <w:tcPr>
            <w:tcW w:w="37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AB17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Pop. growth rate (λ)</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745A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0.943</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7D13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0.826</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1F1A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1.010</w:t>
            </w:r>
          </w:p>
        </w:tc>
        <w:tc>
          <w:tcPr>
            <w:tcW w:w="18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FDF1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0.956</w:t>
            </w:r>
          </w:p>
        </w:tc>
      </w:tr>
      <w:tr w:rsidR="00565854" w14:paraId="280D3041"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12FC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Damping ratio (ρ)</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35DA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1.440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DBB5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1.110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9F93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2.200</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A745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1.310</w:t>
            </w:r>
          </w:p>
        </w:tc>
      </w:tr>
      <w:tr w:rsidR="00565854" w14:paraId="60ACA6C7"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0E58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lastRenderedPageBreak/>
              <w:t>Reproductive value (vegetative stage)</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1996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2.800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6AA7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7150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15.000</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DF640"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565854" w14:paraId="464D1E65"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6FC9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Elasticity</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597C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BB1F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704F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0.558</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5F5A2"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565854" w14:paraId="1A21FB9C"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3DAA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Generation time (</w:t>
            </w:r>
            <w:r>
              <w:rPr>
                <w:rFonts w:ascii="Helvetica" w:eastAsia="Helvetica" w:hAnsi="Helvetica" w:cs="Helvetica"/>
                <w:i/>
                <w:color w:val="000000"/>
                <w:sz w:val="22"/>
                <w:szCs w:val="22"/>
              </w:rPr>
              <w:t>T</w:t>
            </w:r>
            <w:r>
              <w:rPr>
                <w:rFonts w:ascii="Helvetica" w:eastAsia="Helvetica" w:hAnsi="Helvetica" w:cs="Helvetica"/>
                <w:color w:val="000000"/>
                <w:sz w:val="22"/>
                <w:szCs w:val="22"/>
              </w:rPr>
              <w:t>)</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87AA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25.900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632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15.300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602F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58.100</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CA20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31.500</w:t>
            </w:r>
          </w:p>
        </w:tc>
      </w:tr>
      <w:tr w:rsidR="00565854" w14:paraId="0A413BB2" w14:textId="77777777">
        <w:trPr>
          <w:jc w:val="center"/>
        </w:trPr>
        <w:tc>
          <w:tcPr>
            <w:tcW w:w="37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BE413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expectancy (</w:t>
            </w:r>
            <w:r>
              <w:rPr>
                <w:rFonts w:ascii="Helvetica" w:eastAsia="Helvetica" w:hAnsi="Helvetica" w:cs="Helvetica"/>
                <w:i/>
                <w:color w:val="000000"/>
                <w:sz w:val="22"/>
                <w:szCs w:val="22"/>
              </w:rPr>
              <w:t>l</w:t>
            </w:r>
            <w:r>
              <w:rPr>
                <w:rFonts w:ascii="Helvetica" w:eastAsia="Helvetica" w:hAnsi="Helvetica" w:cs="Helvetica"/>
                <w:color w:val="000000"/>
                <w:sz w:val="22"/>
                <w:szCs w:val="22"/>
                <w:vertAlign w:val="subscript"/>
              </w:rPr>
              <w:t>0</w:t>
            </w:r>
            <w:r>
              <w:rPr>
                <w:rFonts w:ascii="Helvetica" w:eastAsia="Helvetica" w:hAnsi="Helvetica" w:cs="Helvetica"/>
                <w:color w:val="000000"/>
                <w:sz w:val="22"/>
                <w:szCs w:val="22"/>
              </w:rPr>
              <w:t>)</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D81DD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6.650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FD928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3.600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EC161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17.900</w:t>
            </w:r>
          </w:p>
        </w:tc>
        <w:tc>
          <w:tcPr>
            <w:tcW w:w="18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178B2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7.840</w:t>
            </w:r>
          </w:p>
        </w:tc>
      </w:tr>
    </w:tbl>
    <w:p w14:paraId="039BD2D1" w14:textId="77777777" w:rsidR="00565854" w:rsidRDefault="00000000">
      <w:r>
        <w:br w:type="page"/>
      </w:r>
    </w:p>
    <w:p w14:paraId="0BF3436B" w14:textId="77777777" w:rsidR="00565854" w:rsidRDefault="00000000">
      <w:pPr>
        <w:pStyle w:val="BodyText"/>
      </w:pPr>
      <w:r>
        <w:lastRenderedPageBreak/>
        <w:t xml:space="preserve">Table S2. Mean-MPM derived-parameter summary for the focal </w:t>
      </w:r>
      <w:r>
        <w:rPr>
          <w:i/>
          <w:iCs/>
        </w:rPr>
        <w:t>Agrimonia eupatoria</w:t>
      </w:r>
      <w:r>
        <w:t xml:space="preserve"> example (population B). Point estimates are compared with sampling-distribution summaries to show how pooling/averaging changes central tendency and uncertainty relative to the single-MPM case.</w:t>
      </w:r>
    </w:p>
    <w:tbl>
      <w:tblPr>
        <w:tblW w:w="0" w:type="auto"/>
        <w:jc w:val="center"/>
        <w:tblLayout w:type="fixed"/>
        <w:tblLook w:val="0420" w:firstRow="1" w:lastRow="0" w:firstColumn="0" w:lastColumn="0" w:noHBand="0" w:noVBand="1"/>
      </w:tblPr>
      <w:tblGrid>
        <w:gridCol w:w="3743"/>
        <w:gridCol w:w="1132"/>
        <w:gridCol w:w="1511"/>
        <w:gridCol w:w="1511"/>
        <w:gridCol w:w="1805"/>
      </w:tblGrid>
      <w:tr w:rsidR="00565854" w14:paraId="6EA46097" w14:textId="77777777">
        <w:trPr>
          <w:tblHeader/>
          <w:jc w:val="center"/>
        </w:trPr>
        <w:tc>
          <w:tcPr>
            <w:tcW w:w="37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6E08C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Parameter</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53C13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29202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C3F7B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c>
          <w:tcPr>
            <w:tcW w:w="18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044A5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w:t>
            </w:r>
          </w:p>
        </w:tc>
      </w:tr>
      <w:tr w:rsidR="00565854" w14:paraId="727DBAC0" w14:textId="77777777">
        <w:trPr>
          <w:jc w:val="center"/>
        </w:trPr>
        <w:tc>
          <w:tcPr>
            <w:tcW w:w="37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A663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expectancy (</w:t>
            </w:r>
            <w:r>
              <w:rPr>
                <w:rFonts w:ascii="Helvetica" w:eastAsia="Helvetica" w:hAnsi="Helvetica" w:cs="Helvetica"/>
                <w:i/>
                <w:color w:val="000000"/>
                <w:sz w:val="22"/>
                <w:szCs w:val="22"/>
              </w:rPr>
              <w:t>l</w:t>
            </w:r>
            <w:r>
              <w:rPr>
                <w:rFonts w:ascii="Helvetica" w:eastAsia="Helvetica" w:hAnsi="Helvetica" w:cs="Helvetica"/>
                <w:color w:val="000000"/>
                <w:sz w:val="22"/>
                <w:szCs w:val="22"/>
                <w:vertAlign w:val="subscript"/>
              </w:rPr>
              <w:t>0</w:t>
            </w:r>
            <w:r>
              <w:rPr>
                <w:rFonts w:ascii="Helvetica" w:eastAsia="Helvetica" w:hAnsi="Helvetica" w:cs="Helvetica"/>
                <w:color w:val="000000"/>
                <w:sz w:val="22"/>
                <w:szCs w:val="22"/>
              </w:rPr>
              <w:t>)</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0DC7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1.920</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7BFA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1.69</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0BA3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2.16</w:t>
            </w:r>
          </w:p>
        </w:tc>
        <w:tc>
          <w:tcPr>
            <w:tcW w:w="18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3D70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1.930</w:t>
            </w:r>
          </w:p>
        </w:tc>
      </w:tr>
      <w:tr w:rsidR="00565854" w14:paraId="319AC8F2"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25E5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Pop. growth rate (λ)</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9525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0.929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7E82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2349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1.03</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8CB4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0.958</w:t>
            </w:r>
          </w:p>
        </w:tc>
      </w:tr>
      <w:tr w:rsidR="00565854" w14:paraId="6842A595" w14:textId="77777777">
        <w:trPr>
          <w:jc w:val="center"/>
        </w:trPr>
        <w:tc>
          <w:tcPr>
            <w:tcW w:w="37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1BAC3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Damping ratio (ρ)</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AA1AE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1.430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D641B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1.25</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A30B3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1.68</w:t>
            </w:r>
          </w:p>
        </w:tc>
        <w:tc>
          <w:tcPr>
            <w:tcW w:w="18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F2876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1.370</w:t>
            </w:r>
          </w:p>
        </w:tc>
      </w:tr>
    </w:tbl>
    <w:p w14:paraId="5FD7337F" w14:textId="77777777" w:rsidR="00565854" w:rsidRDefault="00000000">
      <w:r>
        <w:br w:type="page"/>
      </w:r>
    </w:p>
    <w:p w14:paraId="5DDF7E54" w14:textId="77777777" w:rsidR="00565854" w:rsidRDefault="00000000">
      <w:pPr>
        <w:pStyle w:val="BodyText"/>
      </w:pPr>
      <w:r>
        <w:lastRenderedPageBreak/>
        <w:t>Table S3. Analysis 1 posterior summary for the slope parameter (β) in the life expectancy-shape model. The uncertainty-aware model shows greater posterior support for β &gt; 0 than the point-estimate model.</w:t>
      </w:r>
    </w:p>
    <w:tbl>
      <w:tblPr>
        <w:tblW w:w="0" w:type="auto"/>
        <w:jc w:val="center"/>
        <w:tblLayout w:type="fixed"/>
        <w:tblLook w:val="0420" w:firstRow="1" w:lastRow="0" w:firstColumn="0" w:lastColumn="0" w:noHBand="0" w:noVBand="1"/>
      </w:tblPr>
      <w:tblGrid>
        <w:gridCol w:w="3541"/>
        <w:gridCol w:w="1622"/>
        <w:gridCol w:w="1511"/>
        <w:gridCol w:w="1511"/>
        <w:gridCol w:w="1505"/>
      </w:tblGrid>
      <w:tr w:rsidR="00565854" w14:paraId="1231BE93" w14:textId="77777777">
        <w:trPr>
          <w:tblHeader/>
          <w:jc w:val="center"/>
        </w:trPr>
        <w:tc>
          <w:tcPr>
            <w:tcW w:w="35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FE4BA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6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A86E0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 beta</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90E24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455D0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c>
          <w:tcPr>
            <w:tcW w:w="15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0F18A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P(beta &gt; 0)</w:t>
            </w:r>
          </w:p>
        </w:tc>
      </w:tr>
      <w:tr w:rsidR="00565854" w14:paraId="4F4BDB68" w14:textId="77777777">
        <w:trPr>
          <w:jc w:val="center"/>
        </w:trPr>
        <w:tc>
          <w:tcPr>
            <w:tcW w:w="354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8C33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 using point estimates</w:t>
            </w:r>
          </w:p>
        </w:tc>
        <w:tc>
          <w:tcPr>
            <w:tcW w:w="16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5656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-0.016</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FED2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-0.052</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97E4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0.023</w:t>
            </w:r>
          </w:p>
        </w:tc>
        <w:tc>
          <w:tcPr>
            <w:tcW w:w="15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E61D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0.206</w:t>
            </w:r>
          </w:p>
        </w:tc>
      </w:tr>
      <w:tr w:rsidR="00565854" w14:paraId="2F8E329D" w14:textId="77777777">
        <w:trPr>
          <w:jc w:val="center"/>
        </w:trPr>
        <w:tc>
          <w:tcPr>
            <w:tcW w:w="354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2CF31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 with sampling uncertainty</w:t>
            </w:r>
          </w:p>
        </w:tc>
        <w:tc>
          <w:tcPr>
            <w:tcW w:w="16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763F5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0.011</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69278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-0.017</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1F2D7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0.038</w:t>
            </w:r>
          </w:p>
        </w:tc>
        <w:tc>
          <w:tcPr>
            <w:tcW w:w="15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2098A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0.770</w:t>
            </w:r>
          </w:p>
        </w:tc>
      </w:tr>
    </w:tbl>
    <w:p w14:paraId="7D387DFC" w14:textId="77777777" w:rsidR="00565854" w:rsidRDefault="00000000">
      <w:r>
        <w:br w:type="page"/>
      </w:r>
    </w:p>
    <w:p w14:paraId="7B461B4A" w14:textId="77777777" w:rsidR="00565854" w:rsidRDefault="00000000">
      <w:pPr>
        <w:pStyle w:val="BodyText"/>
      </w:pPr>
      <w:r>
        <w:lastRenderedPageBreak/>
        <w:t>Table S4. Analysis 2 Gaussian-process regression coefficients (monthly lags) for recruitment responses to temperature anomalies. Lag-specific posterior summaries are similar between point-estimate and uncertainty-aware model formulations.</w:t>
      </w:r>
    </w:p>
    <w:tbl>
      <w:tblPr>
        <w:tblW w:w="0" w:type="auto"/>
        <w:jc w:val="center"/>
        <w:tblLayout w:type="fixed"/>
        <w:tblLook w:val="0420" w:firstRow="1" w:lastRow="0" w:firstColumn="0" w:lastColumn="0" w:noHBand="0" w:noVBand="1"/>
      </w:tblPr>
      <w:tblGrid>
        <w:gridCol w:w="778"/>
        <w:gridCol w:w="2465"/>
        <w:gridCol w:w="1622"/>
        <w:gridCol w:w="1511"/>
        <w:gridCol w:w="1511"/>
        <w:gridCol w:w="1095"/>
      </w:tblGrid>
      <w:tr w:rsidR="00565854" w14:paraId="23E962DF" w14:textId="77777777">
        <w:trPr>
          <w:tblHeader/>
          <w:jc w:val="center"/>
        </w:trPr>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1D18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Lag</w:t>
            </w:r>
          </w:p>
        </w:tc>
        <w:tc>
          <w:tcPr>
            <w:tcW w:w="24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210F2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6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4FFBF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 beta</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27C5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E9CDD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c>
          <w:tcPr>
            <w:tcW w:w="109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8A3A3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lag_err</w:t>
            </w:r>
          </w:p>
        </w:tc>
      </w:tr>
      <w:tr w:rsidR="00565854" w14:paraId="6E5F0C9A" w14:textId="77777777">
        <w:trPr>
          <w:jc w:val="center"/>
        </w:trPr>
        <w:tc>
          <w:tcPr>
            <w:tcW w:w="7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2D2B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24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A77D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375B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-0.251</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9251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-0.659</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08AD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0.154</w:t>
            </w:r>
          </w:p>
        </w:tc>
        <w:tc>
          <w:tcPr>
            <w:tcW w:w="109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B4FB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0.82</w:t>
            </w:r>
          </w:p>
        </w:tc>
      </w:tr>
      <w:tr w:rsidR="00565854" w14:paraId="718DA69D"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3755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88A8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8332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-0.135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FBA5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-0.472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C342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AB8B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1.82</w:t>
            </w:r>
          </w:p>
        </w:tc>
      </w:tr>
      <w:tr w:rsidR="00565854" w14:paraId="22A6EE3E"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DB63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44C7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5A3E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-0.030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DC3B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-0.358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AF5E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0.282</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9CE9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2.82</w:t>
            </w:r>
          </w:p>
        </w:tc>
      </w:tr>
      <w:tr w:rsidR="00565854" w14:paraId="6EBBFC6B"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E784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8CE4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F34B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0.078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63B0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-0.261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3609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0.396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E8EE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3.82</w:t>
            </w:r>
          </w:p>
        </w:tc>
      </w:tr>
      <w:tr w:rsidR="00565854" w14:paraId="1A5104D7"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F74E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5A30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D2CB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895F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EBEE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0.474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ECCB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4.82</w:t>
            </w:r>
          </w:p>
        </w:tc>
      </w:tr>
      <w:tr w:rsidR="00565854" w14:paraId="13AFAA59"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37CF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D761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8BF0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450F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412F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0.507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9514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5.82</w:t>
            </w:r>
          </w:p>
        </w:tc>
      </w:tr>
      <w:tr w:rsidR="00565854" w14:paraId="713CDAAB"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6C97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C79E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C92C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8385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6E74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0.563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28D8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6.82</w:t>
            </w:r>
          </w:p>
        </w:tc>
      </w:tr>
      <w:tr w:rsidR="00565854" w14:paraId="1817862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DD5C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ED15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1CA3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7E1D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F0B7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0.608</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75D0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7.82</w:t>
            </w:r>
          </w:p>
        </w:tc>
      </w:tr>
      <w:tr w:rsidR="00565854" w14:paraId="2D2D2C7F"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1F54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CB68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4642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28AE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780E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0.538</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8241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8.82</w:t>
            </w:r>
          </w:p>
        </w:tc>
      </w:tr>
      <w:tr w:rsidR="00565854" w14:paraId="5A186AA4"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0C91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E959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D00A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F78E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E65D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0.482</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6228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9.82</w:t>
            </w:r>
          </w:p>
        </w:tc>
      </w:tr>
      <w:tr w:rsidR="00565854" w14:paraId="507278F1"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FF33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346F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59F6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05AE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C23C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0.460</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4D37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10.80</w:t>
            </w:r>
          </w:p>
        </w:tc>
      </w:tr>
      <w:tr w:rsidR="00565854" w14:paraId="13800260"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68C2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C268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02D1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EAFD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C6E7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6E79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11.80</w:t>
            </w:r>
          </w:p>
        </w:tc>
      </w:tr>
      <w:tr w:rsidR="00565854" w14:paraId="51B150A2"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7D7E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3314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75C7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0.111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441D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E967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E55E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12.80</w:t>
            </w:r>
          </w:p>
        </w:tc>
      </w:tr>
      <w:tr w:rsidR="00565854" w14:paraId="7B20213F"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F440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1669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A2CA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F4B5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B536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B72C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13.80</w:t>
            </w:r>
          </w:p>
        </w:tc>
      </w:tr>
      <w:tr w:rsidR="00565854" w14:paraId="2002D5F8"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87AF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2A3D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4FCF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AA6D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-0.251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E742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0.421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A8F9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14.80</w:t>
            </w:r>
          </w:p>
        </w:tc>
      </w:tr>
      <w:tr w:rsidR="00565854" w14:paraId="25162199"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73D3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47B0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1057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BE0C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BFD4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F65E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15.80</w:t>
            </w:r>
          </w:p>
        </w:tc>
      </w:tr>
      <w:tr w:rsidR="00565854" w14:paraId="1D9AA8F3"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39EA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A761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108C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A8B8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-0.464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71CE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0.084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C642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16.80</w:t>
            </w:r>
          </w:p>
        </w:tc>
      </w:tr>
      <w:tr w:rsidR="00565854" w14:paraId="4441E38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02D1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EE21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537B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6743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-0.543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63A6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C4CF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17.80</w:t>
            </w:r>
          </w:p>
        </w:tc>
      </w:tr>
      <w:tr w:rsidR="00565854" w14:paraId="6B6855A6"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230D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8ABE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7AA2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7E0A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-0.494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246E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5E1E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18.80</w:t>
            </w:r>
          </w:p>
        </w:tc>
      </w:tr>
      <w:tr w:rsidR="00565854" w14:paraId="450C2B78"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AAF6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6C94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43C4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92BF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-0.393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850B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0.062</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E2A5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19.80</w:t>
            </w:r>
          </w:p>
        </w:tc>
      </w:tr>
      <w:tr w:rsidR="00565854" w14:paraId="488995D9"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C73D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4990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F9BE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CB82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-0.306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14B5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52C8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20.80</w:t>
            </w:r>
          </w:p>
        </w:tc>
      </w:tr>
      <w:tr w:rsidR="00565854" w14:paraId="0734941B"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6942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D77D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BB31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1A15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669E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0.291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AB09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21.80</w:t>
            </w:r>
          </w:p>
        </w:tc>
      </w:tr>
      <w:tr w:rsidR="00565854" w14:paraId="08E0483F"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272B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815C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81C5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4973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-0.317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9EFC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0.361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F594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22.80</w:t>
            </w:r>
          </w:p>
        </w:tc>
      </w:tr>
      <w:tr w:rsidR="00565854" w14:paraId="78FAB02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0486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6045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03EB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1C6A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-0.451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F897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9003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23.80</w:t>
            </w:r>
          </w:p>
        </w:tc>
      </w:tr>
      <w:tr w:rsidR="00565854" w14:paraId="5EB0733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47E0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4368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D8EC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BFE3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-0.735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3DF6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0.189</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ECD2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1.18</w:t>
            </w:r>
          </w:p>
        </w:tc>
      </w:tr>
      <w:tr w:rsidR="00565854" w14:paraId="5E379FB8"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0A61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lastRenderedPageBreak/>
              <w:t>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0F1D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B6A8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27C3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-0.551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3DBE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77D1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2.18</w:t>
            </w:r>
          </w:p>
        </w:tc>
      </w:tr>
      <w:tr w:rsidR="00565854" w14:paraId="3D4623B6"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73C0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768E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0703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-0.035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E937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C758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0.329</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59D7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3.18</w:t>
            </w:r>
          </w:p>
        </w:tc>
      </w:tr>
      <w:tr w:rsidR="00565854" w14:paraId="114D6124"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4DC4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35D7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6927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0.079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E14C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-0.265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01AE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0.464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5702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4.18</w:t>
            </w:r>
          </w:p>
        </w:tc>
      </w:tr>
      <w:tr w:rsidR="00565854" w14:paraId="09F1D8BE"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4600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5682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9781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FB3C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0114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0.517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4085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5.18</w:t>
            </w:r>
          </w:p>
        </w:tc>
      </w:tr>
      <w:tr w:rsidR="00565854" w14:paraId="11D11349"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4954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0256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859E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D641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-0.136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6C4B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0.554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576F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6.18</w:t>
            </w:r>
          </w:p>
        </w:tc>
      </w:tr>
      <w:tr w:rsidR="00565854" w14:paraId="287F7D18"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D842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4961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E4E0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0.295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4A82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2D34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0.615</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11E9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7.18</w:t>
            </w:r>
          </w:p>
        </w:tc>
      </w:tr>
      <w:tr w:rsidR="00565854" w14:paraId="766F0BDD"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ECD5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7A73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5EBE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0.348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8B6D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C3F5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0.631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6942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8.18</w:t>
            </w:r>
          </w:p>
        </w:tc>
      </w:tr>
      <w:tr w:rsidR="00565854" w14:paraId="2AF4F43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7053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FC00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7D85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0.342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25F3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0.078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C697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0.571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7174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9.18</w:t>
            </w:r>
          </w:p>
        </w:tc>
      </w:tr>
      <w:tr w:rsidR="00565854" w14:paraId="18688466"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960E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875D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D516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7F0B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BA88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0.543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E08E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10.20</w:t>
            </w:r>
          </w:p>
        </w:tc>
      </w:tr>
      <w:tr w:rsidR="00565854" w14:paraId="674A85EB"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C07E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83AB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1DD8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CED9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3C0B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0.497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5779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11.20</w:t>
            </w:r>
          </w:p>
        </w:tc>
      </w:tr>
      <w:tr w:rsidR="00565854" w14:paraId="43847C84"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077F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61DC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17B9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E318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F0FA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0.456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8BDC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12.20</w:t>
            </w:r>
          </w:p>
        </w:tc>
      </w:tr>
      <w:tr w:rsidR="00565854" w14:paraId="6222B65F"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9A0E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EACA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2BB1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0.117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F55B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72AF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7FA1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13.20</w:t>
            </w:r>
          </w:p>
        </w:tc>
      </w:tr>
      <w:tr w:rsidR="00565854" w14:paraId="0DB74C89"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B4F2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9441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52E6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1BA0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A502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0.448</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17EB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14.20</w:t>
            </w:r>
          </w:p>
        </w:tc>
      </w:tr>
      <w:tr w:rsidR="00565854" w14:paraId="093B613C"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FE8A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C3F8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F06F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B56E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08FB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720A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15.20</w:t>
            </w:r>
          </w:p>
        </w:tc>
      </w:tr>
      <w:tr w:rsidR="00565854" w14:paraId="31CB0AE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DFCB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58C2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E24B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40A1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45E0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964C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16.20</w:t>
            </w:r>
          </w:p>
        </w:tc>
      </w:tr>
      <w:tr w:rsidR="00565854" w14:paraId="3E99251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DB14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7ED6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C649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C91C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-0.473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2839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0.068</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E5BE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17.20</w:t>
            </w:r>
          </w:p>
        </w:tc>
      </w:tr>
      <w:tr w:rsidR="00565854" w14:paraId="0D6B63D7"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060E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1982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769D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403C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-0.568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16BE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0.069</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5D78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18.20</w:t>
            </w:r>
          </w:p>
        </w:tc>
      </w:tr>
      <w:tr w:rsidR="00565854" w14:paraId="77B7EA44"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1EF3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409F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E5C7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DE2A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-0.548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CD49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4A05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19.20</w:t>
            </w:r>
          </w:p>
        </w:tc>
      </w:tr>
      <w:tr w:rsidR="00565854" w14:paraId="6B85AD98"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3298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D701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318B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750C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30CF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5CA7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20.20</w:t>
            </w:r>
          </w:p>
        </w:tc>
      </w:tr>
      <w:tr w:rsidR="00565854" w14:paraId="63A75732"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1830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D53A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FF86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-0.112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96F0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-0.356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5DAD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9BF9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21.20</w:t>
            </w:r>
          </w:p>
        </w:tc>
      </w:tr>
      <w:tr w:rsidR="00565854" w14:paraId="6035CE09"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90F7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38DE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7441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CCFA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7C9B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0.335</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2F96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22.20</w:t>
            </w:r>
          </w:p>
        </w:tc>
      </w:tr>
      <w:tr w:rsidR="00565854" w14:paraId="0E458BCA"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E1A4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28B3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418D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9079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-0.376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4C11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0.362</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F45C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23.20</w:t>
            </w:r>
          </w:p>
        </w:tc>
      </w:tr>
      <w:tr w:rsidR="00565854" w14:paraId="69D2291D" w14:textId="77777777">
        <w:trPr>
          <w:jc w:val="center"/>
        </w:trPr>
        <w:tc>
          <w:tcPr>
            <w:tcW w:w="7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106E5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24</w:t>
            </w:r>
          </w:p>
        </w:tc>
        <w:tc>
          <w:tcPr>
            <w:tcW w:w="24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65F50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58C7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-0.013</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9BA92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-0.456</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4D57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0.416</w:t>
            </w:r>
          </w:p>
        </w:tc>
        <w:tc>
          <w:tcPr>
            <w:tcW w:w="109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6D4A8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24.20</w:t>
            </w:r>
          </w:p>
        </w:tc>
      </w:tr>
    </w:tbl>
    <w:p w14:paraId="3E801D38" w14:textId="77777777" w:rsidR="00565854" w:rsidRDefault="00000000">
      <w:r>
        <w:br w:type="page"/>
      </w:r>
    </w:p>
    <w:p w14:paraId="53EDC575" w14:textId="77777777" w:rsidR="00565854" w:rsidRDefault="00000000">
      <w:pPr>
        <w:pStyle w:val="BodyText"/>
      </w:pPr>
      <w:r>
        <w:lastRenderedPageBreak/>
        <w:t>Table S5. Analysis 2 posterior summary for the spring-temperature coefficient. Point-estimate and uncertainty-aware models yield similar medians and interval widths, indicating limited effect of uncertainty propagation on this coefficient.</w:t>
      </w:r>
    </w:p>
    <w:tbl>
      <w:tblPr>
        <w:tblW w:w="0" w:type="auto"/>
        <w:jc w:val="center"/>
        <w:tblLayout w:type="fixed"/>
        <w:tblLook w:val="0420" w:firstRow="1" w:lastRow="0" w:firstColumn="0" w:lastColumn="0" w:noHBand="0" w:noVBand="1"/>
      </w:tblPr>
      <w:tblGrid>
        <w:gridCol w:w="2465"/>
        <w:gridCol w:w="1132"/>
        <w:gridCol w:w="1511"/>
        <w:gridCol w:w="1511"/>
      </w:tblGrid>
      <w:tr w:rsidR="00565854" w14:paraId="7E85DCAA" w14:textId="77777777">
        <w:trPr>
          <w:tblHeader/>
          <w:jc w:val="center"/>
        </w:trPr>
        <w:tc>
          <w:tcPr>
            <w:tcW w:w="24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BD0AB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51204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50A2D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847B9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r>
      <w:tr w:rsidR="00565854" w14:paraId="42CFE4BC" w14:textId="77777777">
        <w:trPr>
          <w:jc w:val="center"/>
        </w:trPr>
        <w:tc>
          <w:tcPr>
            <w:tcW w:w="24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F684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07C0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1.12</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30BB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0.135</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4FFA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2.10</w:t>
            </w:r>
          </w:p>
        </w:tc>
      </w:tr>
      <w:tr w:rsidR="00565854" w14:paraId="76E15D9B" w14:textId="77777777">
        <w:trPr>
          <w:jc w:val="center"/>
        </w:trPr>
        <w:tc>
          <w:tcPr>
            <w:tcW w:w="24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86D5F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CA49A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1.21</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777F7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0.151</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624AE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2.33</w:t>
            </w:r>
          </w:p>
        </w:tc>
      </w:tr>
    </w:tbl>
    <w:p w14:paraId="3ED0F8A6" w14:textId="77777777" w:rsidR="00565854" w:rsidRDefault="00000000">
      <w:r>
        <w:br w:type="page"/>
      </w:r>
    </w:p>
    <w:p w14:paraId="71DFBD03" w14:textId="77777777" w:rsidR="00565854" w:rsidRDefault="00000000">
      <w:pPr>
        <w:pStyle w:val="BodyText"/>
      </w:pPr>
      <w:r>
        <w:lastRenderedPageBreak/>
        <w:t>Table S6. Primary studies represented in the analysis subset, as identified in COMPADRE. For matrix-level metadata and source-link details beyond this summary, refer to the COMPADRE database record for each study.</w:t>
      </w:r>
    </w:p>
    <w:tbl>
      <w:tblPr>
        <w:tblW w:w="0" w:type="auto"/>
        <w:jc w:val="center"/>
        <w:tblLayout w:type="fixed"/>
        <w:tblLook w:val="0420" w:firstRow="1" w:lastRow="0" w:firstColumn="0" w:lastColumn="0" w:noHBand="0" w:noVBand="1"/>
      </w:tblPr>
      <w:tblGrid>
        <w:gridCol w:w="720"/>
        <w:gridCol w:w="648"/>
        <w:gridCol w:w="1440"/>
        <w:gridCol w:w="1368"/>
        <w:gridCol w:w="3528"/>
      </w:tblGrid>
      <w:tr w:rsidR="00565854" w14:paraId="39C9F24D" w14:textId="77777777">
        <w:trPr>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630B96"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Authors</w:t>
            </w:r>
          </w:p>
        </w:tc>
        <w:tc>
          <w:tcPr>
            <w:tcW w:w="6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C037C3"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Year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27E52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Journal</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8E83DA"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DOI</w:t>
            </w:r>
          </w:p>
        </w:tc>
        <w:tc>
          <w:tcPr>
            <w:tcW w:w="35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64F9A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Species (COMPADRE label)</w:t>
            </w:r>
          </w:p>
        </w:tc>
      </w:tr>
      <w:tr w:rsidR="00565854" w14:paraId="2B473571" w14:textId="77777777">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15921"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Andrello</w:t>
            </w:r>
          </w:p>
        </w:tc>
        <w:tc>
          <w:tcPr>
            <w:tcW w:w="6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502B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5AAAE" w14:textId="77777777" w:rsidR="00565854" w:rsidRDefault="00565854">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18F49" w14:textId="77777777" w:rsidR="00565854" w:rsidRDefault="00565854">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35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28E3B"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Dracocephalum_austriacum</w:t>
            </w:r>
          </w:p>
        </w:tc>
      </w:tr>
      <w:tr w:rsidR="00565854" w14:paraId="31C53952"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9F8E1"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Dangremond; Knight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DBEDB"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FBFB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Ecology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A6F07"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10.1890/09-0418.1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2251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Lupinus_tidestromii</w:t>
            </w:r>
          </w:p>
        </w:tc>
      </w:tr>
      <w:tr w:rsidR="00565854" w14:paraId="2978627D"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4DC72"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Davison; Jacquemyn; Adriaens; Honnay; de Kroon; Tuljapurkar</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A0390"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798C8"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D18F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10.1111/j.1365-2745.2009.01611.x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342DA"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Anthyllis_vulneraria</w:t>
            </w:r>
          </w:p>
        </w:tc>
      </w:tr>
      <w:tr w:rsidR="00565854" w14:paraId="1D99D0BE"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71F38"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Fortini; Zarin</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55799"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E6187"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Forest Ecol Manag</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01C7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10.1016/j.foreco.2010.11.007</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098FC"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Callycophyllum_spruceanum; Carapa_guianensis; Licania_heteromorpha; Licaria_mahuba; Mora_paraensis; Platymiscium_filipes; Virola_surinamensis</w:t>
            </w:r>
          </w:p>
        </w:tc>
      </w:tr>
      <w:tr w:rsidR="00565854" w14:paraId="7EA1C555"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9D0A8"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Gaoue; Ticktin</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68963"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151F6"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Conserv Biol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230A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10.1111/j.1523-1739.2009.01345.x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1017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Khaya_senegalensis</w:t>
            </w:r>
          </w:p>
        </w:tc>
      </w:tr>
      <w:tr w:rsidR="00565854" w14:paraId="744A4431"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C5A4C"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Jacquemyns; Brys; Jongejans</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0D839"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3C88B"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Ecology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13B0F"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10.1890/08-2321.1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3A1FD"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Orchis_purpurea</w:t>
            </w:r>
          </w:p>
        </w:tc>
      </w:tr>
      <w:tr w:rsidR="00565854" w14:paraId="1D29E21A"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71179"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Picard; Mortier; Chagneau</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62A98"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CE8AE"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 Model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71E6D"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10.1016/j.ecolmodel.2010.06.010</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6EC73"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Dicorynia_guianensis</w:t>
            </w:r>
          </w:p>
        </w:tc>
      </w:tr>
      <w:tr w:rsidR="00565854" w14:paraId="177052DD"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3CF9E"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Sampaio; Scariot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0C7E0"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0B05F"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Trop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AF7BD"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10.1017/S0266467409990599</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EF596"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Geonoma_schottiana</w:t>
            </w:r>
          </w:p>
        </w:tc>
      </w:tr>
      <w:tr w:rsidR="00565854" w14:paraId="6E9CA872"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793D1"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Sletvold; Øien; Moen</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EA738"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1F791"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Biol Conserv</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368EA"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10.1016/j.biocon.2009.12.017</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CC0C8"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Dactylorhiza_lapponica</w:t>
            </w:r>
          </w:p>
        </w:tc>
      </w:tr>
      <w:tr w:rsidR="00565854" w14:paraId="65804B45"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71DEB"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Bullock; White; Prudhomme; Tansey; Perea; Hooftman</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387A1"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6FB5D"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5EA63"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10.1111/j.1365-2745.2011.01910.x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DBC5E"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Cirsium_acaule_2</w:t>
            </w:r>
          </w:p>
        </w:tc>
      </w:tr>
      <w:tr w:rsidR="00565854" w14:paraId="6976D65E"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49047"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Che-Castaldo; Inouye</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FB116"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962CC"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Ecosphere</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002BB"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10.1890/ES11-00263.1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57283"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Frasera_speciosa_2</w:t>
            </w:r>
          </w:p>
        </w:tc>
      </w:tr>
      <w:tr w:rsidR="00565854" w14:paraId="49B3F0F1"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AB8A1"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Chen; Visser; Jongejans; van Breugel; Zuidema; Kassim; de Kroon</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9C238"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CADFD"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BC656"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10.1111/j.1365-2745.2011.01825.x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49BA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Shorea_leprosula</w:t>
            </w:r>
          </w:p>
        </w:tc>
      </w:tr>
      <w:tr w:rsidR="00565854" w14:paraId="16E08AF9"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F2BE3"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Csergő; Molnár; García</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3713F"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C1FD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Popul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DECB9"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10.1007/s10144-010-0249-y</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F2D7B"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Saponaria_bellidifolia</w:t>
            </w:r>
          </w:p>
        </w:tc>
      </w:tr>
      <w:tr w:rsidR="00565854" w14:paraId="6637BFD7"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02A47"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 xml:space="preserve">Dominguez </w:t>
            </w:r>
            <w:r>
              <w:rPr>
                <w:rFonts w:ascii="Helvetica" w:eastAsia="Helvetica" w:hAnsi="Helvetica" w:cs="Helvetica"/>
                <w:color w:val="000000"/>
                <w:sz w:val="16"/>
                <w:szCs w:val="16"/>
              </w:rPr>
              <w:lastRenderedPageBreak/>
              <w:t>Lozano; Moreno Saiz; Schwartz</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2CBFF"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lastRenderedPageBreak/>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8C62F"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Nat Conserv</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7DD07"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10.1016/j.jnc.2011.05.005</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73B39"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Vella_pseudocytisus_subsp._paui_2</w:t>
            </w:r>
          </w:p>
        </w:tc>
      </w:tr>
      <w:tr w:rsidR="00565854" w14:paraId="0893084D"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7758C"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Navarro; Galeano; Bernal</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5388E"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75801"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Trop Conserv Sci</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815F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10.1177/194008291100400104</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EE138"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Lepidocaryum_tenue</w:t>
            </w:r>
          </w:p>
        </w:tc>
      </w:tr>
      <w:tr w:rsidR="00565854" w14:paraId="04DE1ADF"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2151E"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Norghauer; Newbery</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0DAA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0AF00"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 Monogr</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682A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10.1890/10-2268.1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EC02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Microberlinia_bisulcata; Tetraberlinia_bifoliolata</w:t>
            </w:r>
          </w:p>
        </w:tc>
      </w:tr>
      <w:tr w:rsidR="00565854" w14:paraId="11654F1B"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97ECE"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Thorpe; Stanley; Kayne; Latham</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27B9B"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CA9D2" w14:textId="77777777" w:rsidR="00565854" w:rsidRDefault="00565854">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BC630" w14:textId="77777777" w:rsidR="00565854" w:rsidRDefault="00565854">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F1BAB"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Cypripedium_fasciculatum</w:t>
            </w:r>
          </w:p>
        </w:tc>
      </w:tr>
      <w:tr w:rsidR="00565854" w14:paraId="09BEE524"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88C6E"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Andrello; Bizoux; Barbet-Massin; Gaudeul; Nicolè; Till-Bottraud</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05F0E"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B891C"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Biol Conserv</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7B5A9"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10.1016/j.biocon.2011.12.012</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100F8"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Eryngium_alpinum</w:t>
            </w:r>
          </w:p>
        </w:tc>
      </w:tr>
      <w:tr w:rsidR="00565854" w14:paraId="37871B1B"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94EA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Ellis</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B1577"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343EE"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Ecology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1E92A"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10.1890/11-1052.1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AB2B8"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Liatris_scariosa</w:t>
            </w:r>
          </w:p>
        </w:tc>
      </w:tr>
      <w:tr w:rsidR="00565854" w14:paraId="636C2256"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7A19D"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Ellis; Williams; Lesica; Bell; Bierzychudek; Bowles; Crone; Doak; Ehrlén; Ellis-Adam; McEachern; Ganesan; Latham; Luijten; Kaye; Knight; Menges; Morris; den Nijs; Oostermeijer; Quintana-Ascencio; Shelly; Stanley; Thorpe; Ticktin; Valverde; Weekley</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FF6D3"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CE0FC"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Ecology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FDF6A"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10.1890/11-1052.1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AC45F"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Cirsium_pitcheri_4; Phyllanthus_emblica_3</w:t>
            </w:r>
          </w:p>
        </w:tc>
      </w:tr>
      <w:tr w:rsidR="00565854" w14:paraId="7948A6F0"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E356D"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Groenendijk; Eshete; Sterck; Zuidema; Bongers</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47DED"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FB316"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Appl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5F921"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10.1111/j.1365-2664.2011.02078.x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35249"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Boswellia_papyrifera</w:t>
            </w:r>
          </w:p>
        </w:tc>
      </w:tr>
      <w:tr w:rsidR="00565854" w14:paraId="0DED25A2"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93F0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Scanga; Leopold</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389FD"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1B3C2"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Biol Conserv</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9F54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10.1016/j.biocon.2012.01.061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2F8BC"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Trollius_laxus</w:t>
            </w:r>
          </w:p>
        </w:tc>
      </w:tr>
      <w:tr w:rsidR="00565854" w14:paraId="50C1791C"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9697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 xml:space="preserve">Ticktin; Ganesan; </w:t>
            </w:r>
            <w:r>
              <w:rPr>
                <w:rFonts w:ascii="Helvetica" w:eastAsia="Helvetica" w:hAnsi="Helvetica" w:cs="Helvetica"/>
                <w:color w:val="000000"/>
                <w:sz w:val="16"/>
                <w:szCs w:val="16"/>
              </w:rPr>
              <w:lastRenderedPageBreak/>
              <w:t>Paramesha; Setty</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F6A6C"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lastRenderedPageBreak/>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27E90"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Appl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E1F2D"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10.1111/j.1365-2664.2012.02156.x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EB20E"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Phyllanthus_emblica_2; Phyllanthus_indofischeri</w:t>
            </w:r>
          </w:p>
        </w:tc>
      </w:tr>
      <w:tr w:rsidR="00565854" w14:paraId="70A1016D"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FFF97"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Gornish</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D0437"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7B34E" w14:textId="77777777" w:rsidR="00565854" w:rsidRDefault="00565854">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6A4CE" w14:textId="77777777" w:rsidR="00565854" w:rsidRDefault="00565854">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D5B3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Pityopsis_aspera</w:t>
            </w:r>
          </w:p>
        </w:tc>
      </w:tr>
      <w:tr w:rsidR="00565854" w14:paraId="3EAF0D40"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0B87E"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Matlaga; Davis</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2AA6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F9877"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Appl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8FAC6"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10.1111/1365-2664.12057</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96D3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Miscanthus_giganteus</w:t>
            </w:r>
          </w:p>
        </w:tc>
      </w:tr>
      <w:tr w:rsidR="00565854" w14:paraId="24AFA1DB"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C3448"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Osunkoya; Perrett; Fernando; Clark; Raghu</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E8B70"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84D5C"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Popul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C9E0F"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10.1007/s10144-013-0364-7</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884E9"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Lantana_camara</w:t>
            </w:r>
          </w:p>
        </w:tc>
      </w:tr>
      <w:tr w:rsidR="00565854" w14:paraId="157BBF12"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125C8"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Villellas; Ehrlén; Olesen; Braza; García</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312C1"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354EF"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Ecography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E4838"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10.1111/j.1600-0587.2012.07425.x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5355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Plantago_coronopus_2</w:t>
            </w:r>
          </w:p>
        </w:tc>
      </w:tr>
      <w:tr w:rsidR="00565854" w14:paraId="3BC2C28C"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DE111"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Scanga</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0269C"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61BEA"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Plant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9D9C5"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10.1007/s11258-014-0344-9</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4147C"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Trollius_laxus_2</w:t>
            </w:r>
          </w:p>
        </w:tc>
      </w:tr>
      <w:tr w:rsidR="00565854" w14:paraId="7ED97A2D"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E50A6"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Baldauf; Correa; Ferreira; Santos</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8B756"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E3F93"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Forest Ecol Manag</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9C272"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10.1016/j.foreco.2015.06.022</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5534C"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Himatanthus_drasticus</w:t>
            </w:r>
          </w:p>
        </w:tc>
      </w:tr>
      <w:tr w:rsidR="00565854" w14:paraId="443F6A40"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0FC0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Gibert; Magda; Hazard</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12669"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B2E7D"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PLOS ONE</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3288F"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10.1371/journal.pone.0139919</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7C3CC"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Festuca_eskia</w:t>
            </w:r>
          </w:p>
        </w:tc>
      </w:tr>
      <w:tr w:rsidR="00565854" w14:paraId="78DBD470" w14:textId="77777777">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DBE228"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Berry; Natalie L Cleavitt</w:t>
            </w:r>
          </w:p>
        </w:tc>
        <w:tc>
          <w:tcPr>
            <w:tcW w:w="6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7FE841"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2021</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FDE9A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Popul Ecol</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F92539"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10.1002/1438-390X.12092</w:t>
            </w:r>
          </w:p>
        </w:tc>
        <w:tc>
          <w:tcPr>
            <w:tcW w:w="35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15E416"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Platanthera_macrophylla_; Platanthera_orbiculata_</w:t>
            </w:r>
          </w:p>
        </w:tc>
      </w:tr>
    </w:tbl>
    <w:p w14:paraId="2471D296" w14:textId="77777777" w:rsidR="00565854" w:rsidRDefault="00000000">
      <w:r>
        <w:br w:type="page"/>
      </w:r>
    </w:p>
    <w:p w14:paraId="3DA88EBF" w14:textId="77777777" w:rsidR="00565854" w:rsidRDefault="00000000">
      <w:pPr>
        <w:pStyle w:val="BodyText"/>
      </w:pPr>
      <w:r>
        <w:lastRenderedPageBreak/>
        <w:t xml:space="preserve">Table S7. Multisite robustness-analysis site coverage and spring-temperature effect summaries for </w:t>
      </w:r>
      <w:r>
        <w:rPr>
          <w:i/>
          <w:iCs/>
        </w:rPr>
        <w:t>Astragalus scaphoides</w:t>
      </w:r>
      <w:r>
        <w:t>. Point-estimate and sampling-uncertainty models give similar spring-temperature coefficients within each site, showing that between-site heterogeneity is larger than within-site method differences.</w:t>
      </w:r>
    </w:p>
    <w:tbl>
      <w:tblPr>
        <w:tblW w:w="0" w:type="auto"/>
        <w:jc w:val="center"/>
        <w:tblLayout w:type="fixed"/>
        <w:tblLook w:val="0420" w:firstRow="1" w:lastRow="0" w:firstColumn="0" w:lastColumn="0" w:noHBand="0" w:noVBand="1"/>
      </w:tblPr>
      <w:tblGrid>
        <w:gridCol w:w="1800"/>
        <w:gridCol w:w="864"/>
        <w:gridCol w:w="1080"/>
        <w:gridCol w:w="1008"/>
        <w:gridCol w:w="1296"/>
        <w:gridCol w:w="1368"/>
      </w:tblGrid>
      <w:tr w:rsidR="00565854" w14:paraId="3C64E560" w14:textId="77777777">
        <w:trPr>
          <w:tblHeader/>
          <w:jc w:val="center"/>
        </w:trPr>
        <w:tc>
          <w:tcPr>
            <w:tcW w:w="18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90F7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Site</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52955A"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Years (total)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389116"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Years (modelled)</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22C857"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Years excluded</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6C9929"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Spring beta (point)</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C6E6C"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Spring beta (sampling)</w:t>
            </w:r>
          </w:p>
        </w:tc>
      </w:tr>
      <w:tr w:rsidR="00565854" w14:paraId="7B6F4656" w14:textId="77777777">
        <w:trPr>
          <w:jc w:val="center"/>
        </w:trPr>
        <w:tc>
          <w:tcPr>
            <w:tcW w:w="18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059F0"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Haynes Creek</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6F94B"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11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6996D"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8</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8A2A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3</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468B0"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-0.441</w:t>
            </w: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0EC1F"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-0.424</w:t>
            </w:r>
          </w:p>
        </w:tc>
      </w:tr>
      <w:tr w:rsidR="00565854" w14:paraId="098FAEC0" w14:textId="77777777">
        <w:trPr>
          <w:jc w:val="center"/>
        </w:trPr>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A52B7"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Sheep Corral Gulch</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431E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AB19A"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10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C162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A61EE"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0.244</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BEC29"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0.258</w:t>
            </w:r>
          </w:p>
        </w:tc>
      </w:tr>
      <w:tr w:rsidR="00565854" w14:paraId="7BD7B8E4" w14:textId="77777777">
        <w:trPr>
          <w:jc w:val="center"/>
        </w:trPr>
        <w:tc>
          <w:tcPr>
            <w:tcW w:w="18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FA4A9"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McDevitt Creek</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CCC7FB"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20A0D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9</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6CB24"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6C1419"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-0.238</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4BCBD6" w14:textId="77777777" w:rsidR="00565854"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-0.212</w:t>
            </w:r>
          </w:p>
        </w:tc>
      </w:tr>
    </w:tbl>
    <w:p w14:paraId="1DDCEF1A" w14:textId="77777777" w:rsidR="00565854" w:rsidRDefault="00000000">
      <w:r>
        <w:br w:type="page"/>
      </w:r>
    </w:p>
    <w:p w14:paraId="3FCD7E0E" w14:textId="77777777" w:rsidR="00565854" w:rsidRDefault="00000000">
      <w:pPr>
        <w:pStyle w:val="BodyText"/>
      </w:pPr>
      <w:r>
        <w:lastRenderedPageBreak/>
        <w:t>Table S8. Multisite robustness-analysis posterior summary for the spring-temperature coefficient by site and model formulation. Across all sites, 95% intervals overlap zero under both formulations, showing similar uncertainty conclusions with and without explicit sampling-uncertainty propagation.</w:t>
      </w:r>
    </w:p>
    <w:tbl>
      <w:tblPr>
        <w:tblW w:w="0" w:type="auto"/>
        <w:jc w:val="center"/>
        <w:tblLayout w:type="fixed"/>
        <w:tblLook w:val="0420" w:firstRow="1" w:lastRow="0" w:firstColumn="0" w:lastColumn="0" w:noHBand="0" w:noVBand="1"/>
      </w:tblPr>
      <w:tblGrid>
        <w:gridCol w:w="2343"/>
        <w:gridCol w:w="3138"/>
        <w:gridCol w:w="1132"/>
        <w:gridCol w:w="1511"/>
        <w:gridCol w:w="1511"/>
      </w:tblGrid>
      <w:tr w:rsidR="00565854" w14:paraId="49CBF7AC" w14:textId="77777777">
        <w:trPr>
          <w:tblHeader/>
          <w:jc w:val="center"/>
        </w:trPr>
        <w:tc>
          <w:tcPr>
            <w:tcW w:w="23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69AF1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Site</w:t>
            </w:r>
          </w:p>
        </w:tc>
        <w:tc>
          <w:tcPr>
            <w:tcW w:w="31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6F9EB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28884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0F5A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DD6DD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r>
      <w:tr w:rsidR="00565854" w14:paraId="4FE927CC" w14:textId="77777777">
        <w:trPr>
          <w:jc w:val="center"/>
        </w:trPr>
        <w:tc>
          <w:tcPr>
            <w:tcW w:w="23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9532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31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80A6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Point-estimate model</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33E2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-0.441</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4FF6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-1.76</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6954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0.899</w:t>
            </w:r>
          </w:p>
        </w:tc>
      </w:tr>
      <w:tr w:rsidR="00565854" w14:paraId="0E88F402"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88BB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31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48D5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Sampling-uncertainty model</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F6D1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-0.424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807E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51EB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0.872</w:t>
            </w:r>
          </w:p>
        </w:tc>
      </w:tr>
      <w:tr w:rsidR="00565854" w14:paraId="5306C1C5"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59EC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31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A39D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Point-estimate model</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B159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7821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6967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1.110</w:t>
            </w:r>
          </w:p>
        </w:tc>
      </w:tr>
      <w:tr w:rsidR="00565854" w14:paraId="1918DE9F"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4967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31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DC67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Sampling-uncertainty model</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2F47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9F04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35BE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1.160</w:t>
            </w:r>
          </w:p>
        </w:tc>
      </w:tr>
      <w:tr w:rsidR="00565854" w14:paraId="15B47698"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1345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31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2628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Point-estimate model</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B666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0.244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3890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DB48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2.100</w:t>
            </w:r>
          </w:p>
        </w:tc>
      </w:tr>
      <w:tr w:rsidR="00565854" w14:paraId="7271014E" w14:textId="77777777">
        <w:trPr>
          <w:jc w:val="center"/>
        </w:trPr>
        <w:tc>
          <w:tcPr>
            <w:tcW w:w="23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651E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31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EFE21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Sampling-uncertainty model</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C1F69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0.258</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1D849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-1.51</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75C77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2.080</w:t>
            </w:r>
          </w:p>
        </w:tc>
      </w:tr>
    </w:tbl>
    <w:p w14:paraId="744C0392" w14:textId="77777777" w:rsidR="00565854" w:rsidRDefault="00000000">
      <w:r>
        <w:br w:type="page"/>
      </w:r>
    </w:p>
    <w:p w14:paraId="2331EA02" w14:textId="77777777" w:rsidR="00565854" w:rsidRDefault="00000000">
      <w:pPr>
        <w:pStyle w:val="BodyText"/>
      </w:pPr>
      <w:r>
        <w:lastRenderedPageBreak/>
        <w:t xml:space="preserve">Table S9. Analysis 2 stage-specific survival-temperature coefficients under two point-estimate weighting scenarios. “No weights” treats annual stage-specific survival proportions equally, whereas “SSD weights” applies stable-stage-distribution weights from the annual </w:t>
      </w:r>
      <m:oMath>
        <m:r>
          <w:rPr>
            <w:rFonts w:ascii="Cambria Math" w:hAnsi="Cambria Math"/>
          </w:rPr>
          <m:t>U</m:t>
        </m:r>
      </m:oMath>
      <w:r>
        <w:t xml:space="preserve"> matrix.</w:t>
      </w:r>
    </w:p>
    <w:tbl>
      <w:tblPr>
        <w:tblW w:w="0" w:type="auto"/>
        <w:jc w:val="center"/>
        <w:tblLayout w:type="fixed"/>
        <w:tblLook w:val="0420" w:firstRow="1" w:lastRow="0" w:firstColumn="0" w:lastColumn="0" w:noHBand="0" w:noVBand="1"/>
      </w:tblPr>
      <w:tblGrid>
        <w:gridCol w:w="1169"/>
        <w:gridCol w:w="1670"/>
        <w:gridCol w:w="1524"/>
        <w:gridCol w:w="1132"/>
        <w:gridCol w:w="1511"/>
        <w:gridCol w:w="1511"/>
      </w:tblGrid>
      <w:tr w:rsidR="00565854" w14:paraId="7E636575" w14:textId="77777777">
        <w:trPr>
          <w:tblHeader/>
          <w:jc w:val="center"/>
        </w:trPr>
        <w:tc>
          <w:tcPr>
            <w:tcW w:w="11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EB0CD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w:t>
            </w:r>
          </w:p>
        </w:tc>
        <w:tc>
          <w:tcPr>
            <w:tcW w:w="1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58843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Weighting</w:t>
            </w: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D4682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Years used</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AD637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E5D6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E2B5B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r>
      <w:tr w:rsidR="00565854" w14:paraId="23102777" w14:textId="77777777">
        <w:trPr>
          <w:jc w:val="center"/>
        </w:trPr>
        <w:tc>
          <w:tcPr>
            <w:tcW w:w="11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82A1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4C16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C539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003D9"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091FF"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DA859"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565854" w14:paraId="7AF2BB29"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6BE7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6E5C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AD73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04356"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3FD9B"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4E219"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565854" w14:paraId="57CBFC4E"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30B2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0C42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1908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1DFF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9A93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CD24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0.691</w:t>
            </w:r>
          </w:p>
        </w:tc>
      </w:tr>
      <w:tr w:rsidR="00565854" w14:paraId="53514895"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B289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1AE3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4F04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3E45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C793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-0.670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2D3B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0.856</w:t>
            </w:r>
          </w:p>
        </w:tc>
      </w:tr>
      <w:tr w:rsidR="00565854" w14:paraId="1B0586D8"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A56F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63B1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5853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59BF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C9FD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-0.315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D619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0.791</w:t>
            </w:r>
          </w:p>
        </w:tc>
      </w:tr>
      <w:tr w:rsidR="00565854" w14:paraId="042BC326"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2CDA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880E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69DE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3607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0.178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755C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-0.353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333E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0.708</w:t>
            </w:r>
          </w:p>
        </w:tc>
      </w:tr>
      <w:tr w:rsidR="00565854" w14:paraId="689260C6"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A373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3F09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2E8D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B5B39"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74862"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0DE07"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565854" w14:paraId="64A4CE33" w14:textId="77777777">
        <w:trPr>
          <w:jc w:val="center"/>
        </w:trPr>
        <w:tc>
          <w:tcPr>
            <w:tcW w:w="11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97688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2637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FE338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0AB7F3"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3FC830"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F83EC"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bl>
    <w:p w14:paraId="21875E1C" w14:textId="77777777" w:rsidR="00565854" w:rsidRDefault="00000000">
      <w:r>
        <w:br w:type="page"/>
      </w:r>
    </w:p>
    <w:p w14:paraId="61321B02" w14:textId="77777777" w:rsidR="00565854" w:rsidRDefault="00000000">
      <w:pPr>
        <w:pStyle w:val="BodyText"/>
      </w:pPr>
      <w:r>
        <w:lastRenderedPageBreak/>
        <w:t>Table S10. Multisite robustness-analysis stage-specific survival-temperature coefficients under two point-estimate weighting scenarios across sites. The comparison shows how coefficient estimates and interval widths change when no stage sample-size information is used and SSD weights are substituted.</w:t>
      </w:r>
    </w:p>
    <w:tbl>
      <w:tblPr>
        <w:tblW w:w="0" w:type="auto"/>
        <w:jc w:val="center"/>
        <w:tblLayout w:type="fixed"/>
        <w:tblLook w:val="0420" w:firstRow="1" w:lastRow="0" w:firstColumn="0" w:lastColumn="0" w:noHBand="0" w:noVBand="1"/>
      </w:tblPr>
      <w:tblGrid>
        <w:gridCol w:w="2343"/>
        <w:gridCol w:w="1169"/>
        <w:gridCol w:w="1670"/>
        <w:gridCol w:w="1524"/>
        <w:gridCol w:w="1132"/>
        <w:gridCol w:w="1511"/>
        <w:gridCol w:w="1511"/>
      </w:tblGrid>
      <w:tr w:rsidR="00565854" w14:paraId="71722C60" w14:textId="77777777">
        <w:trPr>
          <w:tblHeader/>
          <w:jc w:val="center"/>
        </w:trPr>
        <w:tc>
          <w:tcPr>
            <w:tcW w:w="23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42F67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Site</w:t>
            </w:r>
          </w:p>
        </w:tc>
        <w:tc>
          <w:tcPr>
            <w:tcW w:w="11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F60BC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w:t>
            </w:r>
          </w:p>
        </w:tc>
        <w:tc>
          <w:tcPr>
            <w:tcW w:w="1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2F5F6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Weighting</w:t>
            </w: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C11D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Years used</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F6398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08EB1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30D54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r>
      <w:tr w:rsidR="00565854" w14:paraId="4B3CB76D" w14:textId="77777777">
        <w:trPr>
          <w:jc w:val="center"/>
        </w:trPr>
        <w:tc>
          <w:tcPr>
            <w:tcW w:w="23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D523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6EA4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5B24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43E0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B96C2"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38DFC"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AB98B"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565854" w14:paraId="15CC8AE4"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5B7B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5257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B458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7638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2D657"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59155"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55FE3"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565854" w14:paraId="2D31F846"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9173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D1A7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BF2A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90B2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5F4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A7E9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71F2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0.761</w:t>
            </w:r>
          </w:p>
        </w:tc>
      </w:tr>
      <w:tr w:rsidR="00565854" w14:paraId="4582C69B"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E739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6343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ED8B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C7BB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2B46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0CC7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-0.748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07EF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0.542</w:t>
            </w:r>
          </w:p>
        </w:tc>
      </w:tr>
      <w:tr w:rsidR="00565854" w14:paraId="1D76A973"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A071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EF4F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7977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BA3B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4E01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51A0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3A82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0.670</w:t>
            </w:r>
          </w:p>
        </w:tc>
      </w:tr>
      <w:tr w:rsidR="00565854" w14:paraId="03270E71"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F6CF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4A89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530D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F0BC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3DE8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CF04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-0.369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BC59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0.833</w:t>
            </w:r>
          </w:p>
        </w:tc>
      </w:tr>
      <w:tr w:rsidR="00565854" w14:paraId="350CB36A"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1B28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AEF1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2199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D5A5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F839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776F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-0.625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BD66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0.206</w:t>
            </w:r>
          </w:p>
        </w:tc>
      </w:tr>
      <w:tr w:rsidR="00565854" w14:paraId="3D83F70E"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BB15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01E0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D5CF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563A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DB0C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470E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D26B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0.559</w:t>
            </w:r>
          </w:p>
        </w:tc>
      </w:tr>
      <w:tr w:rsidR="00565854" w14:paraId="2F38E42C"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9982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DB46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EB6C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69E3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0D7C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0.028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3F7A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-0.702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0278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0.759</w:t>
            </w:r>
          </w:p>
        </w:tc>
      </w:tr>
      <w:tr w:rsidR="00565854" w14:paraId="7EF5D809"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6311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5452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A92D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FA88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2373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0.102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CF47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-0.372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BA85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0.577</w:t>
            </w:r>
          </w:p>
        </w:tc>
      </w:tr>
      <w:tr w:rsidR="00565854" w14:paraId="01874613"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DC79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E71C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FA02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0EA1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144F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02CC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-0.485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173E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0.725</w:t>
            </w:r>
          </w:p>
        </w:tc>
      </w:tr>
      <w:tr w:rsidR="00565854" w14:paraId="11D6B50E"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7F76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A321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03FD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F2B9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8616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D779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-1.030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0FD0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1.350</w:t>
            </w:r>
          </w:p>
        </w:tc>
      </w:tr>
      <w:tr w:rsidR="00565854" w14:paraId="65E0E4BE"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C9B9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926C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25C9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5F53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C8D2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FF30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-0.601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B0F9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0.642</w:t>
            </w:r>
          </w:p>
        </w:tc>
      </w:tr>
      <w:tr w:rsidR="00565854" w14:paraId="680C79E4"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432A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7939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61C2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2567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BCE5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0.104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8123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-0.881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062D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1.090</w:t>
            </w:r>
          </w:p>
        </w:tc>
      </w:tr>
      <w:tr w:rsidR="00565854" w14:paraId="5CE123AB"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D0B0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DC8C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CC9C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562F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31DE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0.086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F4E9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-0.605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77DC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0.777</w:t>
            </w:r>
          </w:p>
        </w:tc>
      </w:tr>
      <w:tr w:rsidR="00565854" w14:paraId="7ED08D0E"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231E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27D5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FFC9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A730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C315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D6D7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D0AB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0.678</w:t>
            </w:r>
          </w:p>
        </w:tc>
      </w:tr>
      <w:tr w:rsidR="00565854" w14:paraId="3BF99A1C"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040F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9B06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23E3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A483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0ECD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C1C2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-0.608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FCDD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0.186</w:t>
            </w:r>
          </w:p>
        </w:tc>
      </w:tr>
      <w:tr w:rsidR="00565854" w14:paraId="5FFCED09"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A038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7413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CD02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9B8A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E257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FA8D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-0.953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DD1F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0.648</w:t>
            </w:r>
          </w:p>
        </w:tc>
      </w:tr>
      <w:tr w:rsidR="00565854" w14:paraId="7BEC9572"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E593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1A93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55DB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96BA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2EF3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0.283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F976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-0.371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0FBE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0.937</w:t>
            </w:r>
          </w:p>
        </w:tc>
      </w:tr>
      <w:tr w:rsidR="00565854" w14:paraId="0146B94B"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E300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5288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08E6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494B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ABF6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0.248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E64E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0F2F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0.657</w:t>
            </w:r>
          </w:p>
        </w:tc>
      </w:tr>
      <w:tr w:rsidR="00565854" w14:paraId="1A5EB0D0"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F1C8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56BC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4EB1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B337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1FD7F"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6E3D9"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FFFA1"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565854" w14:paraId="74D7F9AF"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1CF9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4A36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D62F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A483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13F73"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BCD9B"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BA14E" w14:textId="77777777" w:rsidR="00565854" w:rsidRDefault="0056585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565854" w14:paraId="0048AC1F"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2B24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EF3E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F22F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DD70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E9A8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-0.317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A2FD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-0.889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A10F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0.255</w:t>
            </w:r>
          </w:p>
        </w:tc>
      </w:tr>
      <w:tr w:rsidR="00565854" w14:paraId="5205B709"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FC81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lastRenderedPageBreak/>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B5E3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9451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B205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3DBC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-0.513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25F8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7341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-0.089</w:t>
            </w:r>
          </w:p>
        </w:tc>
      </w:tr>
      <w:tr w:rsidR="00565854" w14:paraId="60C2B07D"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BB0F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074E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2A4B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569D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AAF9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-0.460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EBA5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0993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0.092</w:t>
            </w:r>
          </w:p>
        </w:tc>
      </w:tr>
      <w:tr w:rsidR="00565854" w14:paraId="255B0A7B"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99FA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D8C6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005A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51D3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EF9D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-0.247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3506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-0.892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021B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0.398</w:t>
            </w:r>
          </w:p>
        </w:tc>
      </w:tr>
      <w:tr w:rsidR="00565854" w14:paraId="5EA83D9F"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DDAB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C63A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7572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7657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B2D3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0.329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355C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-0.877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F6EB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1.530</w:t>
            </w:r>
          </w:p>
        </w:tc>
      </w:tr>
      <w:tr w:rsidR="00565854" w14:paraId="13C88404"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0EB5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1DFC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3519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D64B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DCB6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0D8C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-1.050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82FA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2.090</w:t>
            </w:r>
          </w:p>
        </w:tc>
      </w:tr>
      <w:tr w:rsidR="00565854" w14:paraId="08CF4A2E"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D546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C1A8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1C95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4E50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3AEC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636E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537E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0.204</w:t>
            </w:r>
          </w:p>
        </w:tc>
      </w:tr>
      <w:tr w:rsidR="00565854" w14:paraId="276F5D31" w14:textId="77777777">
        <w:trPr>
          <w:jc w:val="center"/>
        </w:trPr>
        <w:tc>
          <w:tcPr>
            <w:tcW w:w="23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5D7A5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2B14D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CBC05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9EBEF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100E9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-0.098</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0DD94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-2.070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54773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1.880</w:t>
            </w:r>
          </w:p>
        </w:tc>
      </w:tr>
    </w:tbl>
    <w:p w14:paraId="7656E834" w14:textId="77777777" w:rsidR="00565854" w:rsidRDefault="00000000">
      <w:r>
        <w:br w:type="page"/>
      </w:r>
    </w:p>
    <w:p w14:paraId="7F171710" w14:textId="77777777" w:rsidR="00565854" w:rsidRDefault="00000000">
      <w:pPr>
        <w:pStyle w:val="BodyText"/>
      </w:pPr>
      <w:r>
        <w:lastRenderedPageBreak/>
        <w:t>Table S11. Comparison of screened target studies that were included versus excluded under the current reproducible COMPADRE-based screen. Numeric entries are study-level means ± SD; life-form entries are numbers of studies with percentages in parentheses. Included studies have a higher mean proportion of boundary survival estimates, especially estimates of exactly 1.</w:t>
      </w:r>
    </w:p>
    <w:tbl>
      <w:tblPr>
        <w:tblW w:w="0" w:type="auto"/>
        <w:jc w:val="center"/>
        <w:tblLayout w:type="fixed"/>
        <w:tblLook w:val="0420" w:firstRow="1" w:lastRow="0" w:firstColumn="0" w:lastColumn="0" w:noHBand="0" w:noVBand="1"/>
      </w:tblPr>
      <w:tblGrid>
        <w:gridCol w:w="5840"/>
        <w:gridCol w:w="1510"/>
        <w:gridCol w:w="1510"/>
      </w:tblGrid>
      <w:tr w:rsidR="00565854" w14:paraId="276C8DBE" w14:textId="77777777">
        <w:trPr>
          <w:tblHeader/>
          <w:jc w:val="center"/>
        </w:trPr>
        <w:tc>
          <w:tcPr>
            <w:tcW w:w="58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DCAA8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Characteristic</w:t>
            </w:r>
          </w:p>
        </w:tc>
        <w:tc>
          <w:tcPr>
            <w:tcW w:w="15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872F0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Included</w:t>
            </w:r>
          </w:p>
        </w:tc>
        <w:tc>
          <w:tcPr>
            <w:tcW w:w="15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22D5A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Excluded</w:t>
            </w:r>
          </w:p>
        </w:tc>
      </w:tr>
      <w:tr w:rsidR="00565854" w14:paraId="655259F5" w14:textId="77777777">
        <w:trPr>
          <w:jc w:val="center"/>
        </w:trPr>
        <w:tc>
          <w:tcPr>
            <w:tcW w:w="58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66C7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Studies, n</w:t>
            </w:r>
          </w:p>
        </w:tc>
        <w:tc>
          <w:tcPr>
            <w:tcW w:w="15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C052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w:t>
            </w:r>
          </w:p>
        </w:tc>
        <w:tc>
          <w:tcPr>
            <w:tcW w:w="15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E363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69</w:t>
            </w:r>
          </w:p>
        </w:tc>
      </w:tr>
      <w:tr w:rsidR="00565854" w14:paraId="34FAD2C1" w14:textId="77777777">
        <w:trPr>
          <w:jc w:val="center"/>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1E98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Mean matrix dimension</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83AC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5.92 ± 2.75</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4C01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6.68 ± 5.05</w:t>
            </w:r>
          </w:p>
        </w:tc>
      </w:tr>
      <w:tr w:rsidR="00565854" w14:paraId="6795C95B" w14:textId="77777777">
        <w:trPr>
          <w:jc w:val="center"/>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4152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Mean stage-specific survival</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B2C6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0.74 ± 0.14</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2C1E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0.76 ± 0.15</w:t>
            </w:r>
          </w:p>
        </w:tc>
      </w:tr>
      <w:tr w:rsidR="00565854" w14:paraId="369E43FD" w14:textId="77777777">
        <w:trPr>
          <w:jc w:val="center"/>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A8D5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Proportion of survival estimates equal to 0</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DF27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 ± 0.10</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AA1C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0.03 ± 0.09</w:t>
            </w:r>
          </w:p>
        </w:tc>
      </w:tr>
      <w:tr w:rsidR="00565854" w14:paraId="15376B6B" w14:textId="77777777">
        <w:trPr>
          <w:jc w:val="center"/>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306D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Proportion of survival estimates equal to 1</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96BD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0.17 ± 0.17</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A46B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0.08 ± 0.15</w:t>
            </w:r>
          </w:p>
        </w:tc>
      </w:tr>
      <w:tr w:rsidR="00565854" w14:paraId="0E48F19D" w14:textId="77777777">
        <w:trPr>
          <w:jc w:val="center"/>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09D4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Proportion of survival estimates at the boundary (0 or 1)</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F33A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 ± 0.18</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CFBE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0.11 ± 0.17</w:t>
            </w:r>
          </w:p>
        </w:tc>
      </w:tr>
      <w:tr w:rsidR="00565854" w14:paraId="4BA4F2B5" w14:textId="77777777">
        <w:trPr>
          <w:jc w:val="center"/>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9D0F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Dominant life form: Herbaceous perennial</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1EDF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 (60.9%)</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307F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40 (58.0%)</w:t>
            </w:r>
          </w:p>
        </w:tc>
      </w:tr>
      <w:tr w:rsidR="00565854" w14:paraId="40661477" w14:textId="77777777">
        <w:trPr>
          <w:jc w:val="center"/>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FE62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Dominant life form: Succulent</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CCB7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 (21.7%)</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7878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 (11.6%)</w:t>
            </w:r>
          </w:p>
        </w:tc>
      </w:tr>
      <w:tr w:rsidR="00565854" w14:paraId="673EB842" w14:textId="77777777">
        <w:trPr>
          <w:jc w:val="center"/>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BE05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Dominant life form: Shrub</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A2B8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 (0.0%)</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5475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 (5.8%)</w:t>
            </w:r>
          </w:p>
        </w:tc>
      </w:tr>
      <w:tr w:rsidR="00565854" w14:paraId="3E3ECD2F" w14:textId="77777777">
        <w:trPr>
          <w:jc w:val="center"/>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FAC2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Dominant life form: Tree</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BDE0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 (8.7%)</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2BE6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 (18.8%)</w:t>
            </w:r>
          </w:p>
        </w:tc>
      </w:tr>
      <w:tr w:rsidR="00565854" w14:paraId="31731901" w14:textId="77777777">
        <w:trPr>
          <w:jc w:val="center"/>
        </w:trPr>
        <w:tc>
          <w:tcPr>
            <w:tcW w:w="58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52492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Dominant life form: Palm</w:t>
            </w:r>
          </w:p>
        </w:tc>
        <w:tc>
          <w:tcPr>
            <w:tcW w:w="15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CD6F8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 (8.7%)</w:t>
            </w:r>
          </w:p>
        </w:tc>
        <w:tc>
          <w:tcPr>
            <w:tcW w:w="15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3B77E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 (5.8%)</w:t>
            </w:r>
          </w:p>
        </w:tc>
      </w:tr>
    </w:tbl>
    <w:p w14:paraId="27931787" w14:textId="77777777" w:rsidR="00565854" w:rsidRDefault="00000000">
      <w:r>
        <w:br w:type="page"/>
      </w:r>
    </w:p>
    <w:p w14:paraId="50FA598D" w14:textId="77777777" w:rsidR="00565854" w:rsidRDefault="00000000">
      <w:pPr>
        <w:pStyle w:val="BodyText"/>
      </w:pPr>
      <w:r>
        <w:lastRenderedPageBreak/>
        <w:t>Table S12. Distribution of boundary survival estimates and small stage-specific sample sizes across Analysis 1 population-level MPM entries, grouped by the COMPADRE life-form categories available for these studies and by broad matrix-dimension class. Percentages give the share of population entries with at least one boundary survival estimate or at least one stage with sample size below the stated threshold. Woody life-form categories are included for completeness but are sparsely represented in this subset.</w:t>
      </w:r>
    </w:p>
    <w:tbl>
      <w:tblPr>
        <w:tblW w:w="0" w:type="auto"/>
        <w:jc w:val="center"/>
        <w:tblLayout w:type="fixed"/>
        <w:tblLook w:val="0420" w:firstRow="1" w:lastRow="0" w:firstColumn="0" w:lastColumn="0" w:noHBand="0" w:noVBand="1"/>
      </w:tblPr>
      <w:tblGrid>
        <w:gridCol w:w="2073"/>
        <w:gridCol w:w="2563"/>
        <w:gridCol w:w="2416"/>
        <w:gridCol w:w="3871"/>
        <w:gridCol w:w="2960"/>
        <w:gridCol w:w="2960"/>
        <w:gridCol w:w="2734"/>
      </w:tblGrid>
      <w:tr w:rsidR="00565854" w14:paraId="116051CF" w14:textId="77777777">
        <w:trPr>
          <w:tblHeader/>
          <w:jc w:val="center"/>
        </w:trPr>
        <w:tc>
          <w:tcPr>
            <w:tcW w:w="20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4A695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Group</w:t>
            </w:r>
          </w:p>
        </w:tc>
        <w:tc>
          <w:tcPr>
            <w:tcW w:w="256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B6FBE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Category</w:t>
            </w:r>
          </w:p>
        </w:tc>
        <w:tc>
          <w:tcPr>
            <w:tcW w:w="24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EA9E9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Population entries, n</w:t>
            </w:r>
          </w:p>
        </w:tc>
        <w:tc>
          <w:tcPr>
            <w:tcW w:w="3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D2E03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Any boundary survival estimate (%)</w:t>
            </w:r>
          </w:p>
        </w:tc>
        <w:tc>
          <w:tcPr>
            <w:tcW w:w="29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F19F1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Any stage with N &lt; 20 (%)</w:t>
            </w:r>
          </w:p>
        </w:tc>
        <w:tc>
          <w:tcPr>
            <w:tcW w:w="29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1E74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Any stage with N &lt; 50 (%)</w:t>
            </w:r>
          </w:p>
        </w:tc>
        <w:tc>
          <w:tcPr>
            <w:tcW w:w="27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C2CDD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Mean minimum stage N</w:t>
            </w:r>
          </w:p>
        </w:tc>
      </w:tr>
      <w:tr w:rsidR="00565854" w14:paraId="10FB536A" w14:textId="77777777">
        <w:trPr>
          <w:jc w:val="center"/>
        </w:trPr>
        <w:tc>
          <w:tcPr>
            <w:tcW w:w="207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F2BD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form</w:t>
            </w:r>
          </w:p>
        </w:tc>
        <w:tc>
          <w:tcPr>
            <w:tcW w:w="256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254D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Epiphyte</w:t>
            </w:r>
          </w:p>
        </w:tc>
        <w:tc>
          <w:tcPr>
            <w:tcW w:w="24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DFAB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38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868A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w:t>
            </w:r>
          </w:p>
        </w:tc>
        <w:tc>
          <w:tcPr>
            <w:tcW w:w="29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348E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w:t>
            </w:r>
          </w:p>
        </w:tc>
        <w:tc>
          <w:tcPr>
            <w:tcW w:w="29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079E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100.0</w:t>
            </w:r>
          </w:p>
        </w:tc>
        <w:tc>
          <w:tcPr>
            <w:tcW w:w="27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2087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29.0</w:t>
            </w:r>
          </w:p>
        </w:tc>
      </w:tr>
      <w:tr w:rsidR="00565854" w14:paraId="1F82F4C5" w14:textId="77777777">
        <w:trPr>
          <w:jc w:val="center"/>
        </w:trPr>
        <w:tc>
          <w:tcPr>
            <w:tcW w:w="20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BB3F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form</w:t>
            </w:r>
          </w:p>
        </w:tc>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4F0B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Herbaceous perennial</w:t>
            </w:r>
          </w:p>
        </w:tc>
        <w:tc>
          <w:tcPr>
            <w:tcW w:w="2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457D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53</w:t>
            </w:r>
          </w:p>
        </w:tc>
        <w:tc>
          <w:tcPr>
            <w:tcW w:w="3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B344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45.3</w:t>
            </w:r>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0E81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34.0</w:t>
            </w:r>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4E75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58.5</w:t>
            </w:r>
          </w:p>
        </w:tc>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CC44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66.3</w:t>
            </w:r>
          </w:p>
        </w:tc>
      </w:tr>
      <w:tr w:rsidR="00565854" w14:paraId="74A32315" w14:textId="77777777">
        <w:trPr>
          <w:jc w:val="center"/>
        </w:trPr>
        <w:tc>
          <w:tcPr>
            <w:tcW w:w="20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4F1B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form</w:t>
            </w:r>
          </w:p>
        </w:tc>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A1CF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Palm</w:t>
            </w:r>
          </w:p>
        </w:tc>
        <w:tc>
          <w:tcPr>
            <w:tcW w:w="2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6635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3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D9CC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33.3</w:t>
            </w:r>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4638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w:t>
            </w:r>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ACE5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33.3</w:t>
            </w:r>
          </w:p>
        </w:tc>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BB8F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144.7</w:t>
            </w:r>
          </w:p>
        </w:tc>
      </w:tr>
      <w:tr w:rsidR="00565854" w14:paraId="259AFEA5" w14:textId="77777777">
        <w:trPr>
          <w:jc w:val="center"/>
        </w:trPr>
        <w:tc>
          <w:tcPr>
            <w:tcW w:w="20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5D08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form</w:t>
            </w:r>
          </w:p>
        </w:tc>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E3E5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Shrub</w:t>
            </w:r>
          </w:p>
        </w:tc>
        <w:tc>
          <w:tcPr>
            <w:tcW w:w="2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A3AE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3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2FC6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100.0</w:t>
            </w:r>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9A34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w:t>
            </w:r>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9CCE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w:t>
            </w:r>
          </w:p>
        </w:tc>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6D2A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190.0</w:t>
            </w:r>
          </w:p>
        </w:tc>
      </w:tr>
      <w:tr w:rsidR="00565854" w14:paraId="7378F936" w14:textId="77777777">
        <w:trPr>
          <w:jc w:val="center"/>
        </w:trPr>
        <w:tc>
          <w:tcPr>
            <w:tcW w:w="20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7D47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form</w:t>
            </w:r>
          </w:p>
        </w:tc>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E888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Succulent</w:t>
            </w:r>
          </w:p>
        </w:tc>
        <w:tc>
          <w:tcPr>
            <w:tcW w:w="2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7D4A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3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67E1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22.2</w:t>
            </w:r>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0E34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22.2</w:t>
            </w:r>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C20F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33.3</w:t>
            </w:r>
          </w:p>
        </w:tc>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A700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85.4</w:t>
            </w:r>
          </w:p>
        </w:tc>
      </w:tr>
      <w:tr w:rsidR="00565854" w14:paraId="66710DD4" w14:textId="77777777">
        <w:trPr>
          <w:jc w:val="center"/>
        </w:trPr>
        <w:tc>
          <w:tcPr>
            <w:tcW w:w="20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D74B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form</w:t>
            </w:r>
          </w:p>
        </w:tc>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28FA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Tree</w:t>
            </w:r>
          </w:p>
        </w:tc>
        <w:tc>
          <w:tcPr>
            <w:tcW w:w="2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ED6D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3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4AB4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100.0</w:t>
            </w:r>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CA7D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100.0</w:t>
            </w:r>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F375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100.0</w:t>
            </w:r>
          </w:p>
        </w:tc>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B282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8.0</w:t>
            </w:r>
          </w:p>
        </w:tc>
      </w:tr>
      <w:tr w:rsidR="00565854" w14:paraId="7E209624" w14:textId="77777777">
        <w:trPr>
          <w:jc w:val="center"/>
        </w:trPr>
        <w:tc>
          <w:tcPr>
            <w:tcW w:w="20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C62C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Matrix dimension</w:t>
            </w:r>
          </w:p>
        </w:tc>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6EB5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3-5 stages</w:t>
            </w:r>
          </w:p>
        </w:tc>
        <w:tc>
          <w:tcPr>
            <w:tcW w:w="2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F9AD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50</w:t>
            </w:r>
          </w:p>
        </w:tc>
        <w:tc>
          <w:tcPr>
            <w:tcW w:w="3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4C87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36.0</w:t>
            </w:r>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BF95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26.0</w:t>
            </w:r>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A471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50.0</w:t>
            </w:r>
          </w:p>
        </w:tc>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6232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83.2</w:t>
            </w:r>
          </w:p>
        </w:tc>
      </w:tr>
      <w:tr w:rsidR="00565854" w14:paraId="7597E44F" w14:textId="77777777">
        <w:trPr>
          <w:jc w:val="center"/>
        </w:trPr>
        <w:tc>
          <w:tcPr>
            <w:tcW w:w="207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2CDBA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Matrix dimension</w:t>
            </w:r>
          </w:p>
        </w:tc>
        <w:tc>
          <w:tcPr>
            <w:tcW w:w="256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F2E01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 stages</w:t>
            </w:r>
          </w:p>
        </w:tc>
        <w:tc>
          <w:tcPr>
            <w:tcW w:w="24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8BD76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w:t>
            </w:r>
          </w:p>
        </w:tc>
        <w:tc>
          <w:tcPr>
            <w:tcW w:w="3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4613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61.1</w:t>
            </w:r>
          </w:p>
        </w:tc>
        <w:tc>
          <w:tcPr>
            <w:tcW w:w="29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2550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44.4</w:t>
            </w:r>
          </w:p>
        </w:tc>
        <w:tc>
          <w:tcPr>
            <w:tcW w:w="29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56D9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66.7</w:t>
            </w:r>
          </w:p>
        </w:tc>
        <w:tc>
          <w:tcPr>
            <w:tcW w:w="27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696D6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43.6</w:t>
            </w:r>
          </w:p>
        </w:tc>
      </w:tr>
    </w:tbl>
    <w:p w14:paraId="5F1E9240" w14:textId="77777777" w:rsidR="00565854" w:rsidRDefault="00000000">
      <w:r>
        <w:br w:type="page"/>
      </w:r>
    </w:p>
    <w:p w14:paraId="32DD7C24" w14:textId="77777777" w:rsidR="00565854" w:rsidRDefault="00000000">
      <w:pPr>
        <w:pStyle w:val="BodyText"/>
      </w:pPr>
      <w:r>
        <w:lastRenderedPageBreak/>
        <w:t>Table S13. Linear models relating displacement magnitude in Analysis 1 to boundary-survival predictors. Displacement is defined as the absolute difference between the point estimate and the median of the sampling distribution; life expectancy displacement is modelled on the log10 scale. Positive slopes indicate greater point-estimate displacement in matrices with more boundary survival structure.</w:t>
      </w:r>
    </w:p>
    <w:tbl>
      <w:tblPr>
        <w:tblW w:w="0" w:type="auto"/>
        <w:jc w:val="center"/>
        <w:tblLayout w:type="fixed"/>
        <w:tblLook w:val="0420" w:firstRow="1" w:lastRow="0" w:firstColumn="0" w:lastColumn="0" w:noHBand="0" w:noVBand="1"/>
      </w:tblPr>
      <w:tblGrid>
        <w:gridCol w:w="1944"/>
        <w:gridCol w:w="2592"/>
        <w:gridCol w:w="1008"/>
        <w:gridCol w:w="720"/>
        <w:gridCol w:w="1152"/>
        <w:gridCol w:w="792"/>
        <w:gridCol w:w="648"/>
      </w:tblGrid>
      <w:tr w:rsidR="00565854" w14:paraId="7CAA69F6" w14:textId="77777777">
        <w:trPr>
          <w:tblHeader/>
          <w:jc w:val="center"/>
        </w:trPr>
        <w:tc>
          <w:tcPr>
            <w:tcW w:w="19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F0313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Response</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9CF76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Predictor</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CBFDF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Population entries, n</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AB48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Slope</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4BDFE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95% CI</w:t>
            </w:r>
          </w:p>
        </w:tc>
        <w:tc>
          <w:tcPr>
            <w:tcW w:w="7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D88FD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P value</w:t>
            </w:r>
          </w:p>
        </w:tc>
        <w:tc>
          <w:tcPr>
            <w:tcW w:w="6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13AB9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R²</w:t>
            </w:r>
          </w:p>
        </w:tc>
      </w:tr>
      <w:tr w:rsidR="00565854" w14:paraId="1FD2904F" w14:textId="77777777">
        <w:trPr>
          <w:jc w:val="center"/>
        </w:trPr>
        <w:tc>
          <w:tcPr>
            <w:tcW w:w="19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005B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Shape displacement |point - median|</w:t>
            </w:r>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8275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Number of boundary survival stages</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A9AC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68</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0EAD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0.010</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ECB9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[0.005, 0.016]</w:t>
            </w:r>
          </w:p>
        </w:tc>
        <w:tc>
          <w:tcPr>
            <w:tcW w:w="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55F9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0.00037</w:t>
            </w:r>
          </w:p>
        </w:tc>
        <w:tc>
          <w:tcPr>
            <w:tcW w:w="6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1B1E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0.176</w:t>
            </w:r>
          </w:p>
        </w:tc>
      </w:tr>
      <w:tr w:rsidR="00565854" w14:paraId="5E10F23A" w14:textId="77777777">
        <w:trPr>
          <w:jc w:val="center"/>
        </w:trPr>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6F2A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Shape displacement |point - median|</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8B7B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Proportion of individuals in boundary-survival stages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D558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64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6F8B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0.093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0EBD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[0.043, 0.143]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52D2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0.00045</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280B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0.181</w:t>
            </w:r>
          </w:p>
        </w:tc>
      </w:tr>
      <w:tr w:rsidR="00565854" w14:paraId="6314B385" w14:textId="77777777">
        <w:trPr>
          <w:jc w:val="center"/>
        </w:trPr>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97DA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Life expectancy displacement |log10(point) - log10(median)|</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7313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Number of boundary survival stages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6C20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68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E33D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0.062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8EE1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[0.029, 0.095]</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2E0C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0.00035</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59512"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0.177</w:t>
            </w:r>
          </w:p>
        </w:tc>
      </w:tr>
      <w:tr w:rsidR="00565854" w14:paraId="071C9222" w14:textId="77777777">
        <w:trPr>
          <w:jc w:val="center"/>
        </w:trPr>
        <w:tc>
          <w:tcPr>
            <w:tcW w:w="19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37E94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Life expectancy displacement |log10(point) - log10(median)|</w:t>
            </w:r>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FE3611"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Proportion of individuals in boundary-survival stages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6D171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64</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1CDE2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0.672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83223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[0.370, 0.974]</w:t>
            </w:r>
          </w:p>
        </w:tc>
        <w:tc>
          <w:tcPr>
            <w:tcW w:w="7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C4334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&lt; 1e-04</w:t>
            </w:r>
          </w:p>
        </w:tc>
        <w:tc>
          <w:tcPr>
            <w:tcW w:w="6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F22F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15"/>
                <w:szCs w:val="15"/>
              </w:rPr>
            </w:pPr>
            <w:r>
              <w:rPr>
                <w:rFonts w:ascii="Helvetica" w:eastAsia="Helvetica" w:hAnsi="Helvetica" w:cs="Helvetica"/>
                <w:color w:val="000000"/>
                <w:sz w:val="15"/>
                <w:szCs w:val="15"/>
              </w:rPr>
              <w:t>0.242</w:t>
            </w:r>
          </w:p>
        </w:tc>
      </w:tr>
    </w:tbl>
    <w:p w14:paraId="6E1ECB43" w14:textId="77777777" w:rsidR="00565854" w:rsidRDefault="00000000">
      <w:r>
        <w:br w:type="page"/>
      </w:r>
    </w:p>
    <w:p w14:paraId="2E68A9EC" w14:textId="77777777" w:rsidR="00565854" w:rsidRDefault="00000000">
      <w:pPr>
        <w:pStyle w:val="BodyText"/>
      </w:pPr>
      <w:r>
        <w:lastRenderedPageBreak/>
        <w:t>Table S14. Sensitivity of Analysis 1 shape estimates to the quasi-stable-distribution truncation threshold used when calculating the shape metric. Comparisons are against the 1% threshold used in the main analysis, summarising the stability of shape estimates across the thresholds tested; downstream regressions were not refitted.</w:t>
      </w:r>
    </w:p>
    <w:tbl>
      <w:tblPr>
        <w:tblW w:w="0" w:type="auto"/>
        <w:jc w:val="center"/>
        <w:tblLayout w:type="fixed"/>
        <w:tblLook w:val="0420" w:firstRow="1" w:lastRow="0" w:firstColumn="0" w:lastColumn="0" w:noHBand="0" w:noVBand="1"/>
      </w:tblPr>
      <w:tblGrid>
        <w:gridCol w:w="1597"/>
        <w:gridCol w:w="2416"/>
        <w:gridCol w:w="3272"/>
        <w:gridCol w:w="3191"/>
        <w:gridCol w:w="3912"/>
        <w:gridCol w:w="2885"/>
        <w:gridCol w:w="3484"/>
        <w:gridCol w:w="2184"/>
        <w:gridCol w:w="1475"/>
        <w:gridCol w:w="1646"/>
      </w:tblGrid>
      <w:tr w:rsidR="00565854" w14:paraId="064A7DE1" w14:textId="77777777">
        <w:trPr>
          <w:tblHeader/>
          <w:jc w:val="center"/>
        </w:trPr>
        <w:tc>
          <w:tcPr>
            <w:tcW w:w="15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4BA1D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Comparison</w:t>
            </w:r>
          </w:p>
        </w:tc>
        <w:tc>
          <w:tcPr>
            <w:tcW w:w="24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8BBC0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Population entries, n</w:t>
            </w:r>
          </w:p>
        </w:tc>
        <w:tc>
          <w:tcPr>
            <w:tcW w:w="32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B8F7A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Correlation of point estimates</w:t>
            </w:r>
          </w:p>
        </w:tc>
        <w:tc>
          <w:tcPr>
            <w:tcW w:w="31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011EF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 |ΔS| (point estimate)</w:t>
            </w:r>
          </w:p>
        </w:tc>
        <w:tc>
          <w:tcPr>
            <w:tcW w:w="39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0E32D7"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95th percentile |ΔS| (point estimate)</w:t>
            </w:r>
          </w:p>
        </w:tc>
        <w:tc>
          <w:tcPr>
            <w:tcW w:w="288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C129A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Max |ΔS| (point estimate)</w:t>
            </w:r>
          </w:p>
        </w:tc>
        <w:tc>
          <w:tcPr>
            <w:tcW w:w="34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68242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 |ΔS| (sampling median)</w:t>
            </w:r>
          </w:p>
        </w:tc>
        <w:tc>
          <w:tcPr>
            <w:tcW w:w="21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3F5A90"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Sign changes in S</w:t>
            </w:r>
          </w:p>
        </w:tc>
        <w:tc>
          <w:tcPr>
            <w:tcW w:w="147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205DA"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 Δq</w:t>
            </w:r>
          </w:p>
        </w:tc>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27573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Range of Δq</w:t>
            </w:r>
          </w:p>
        </w:tc>
      </w:tr>
      <w:tr w:rsidR="00565854" w14:paraId="711B594B" w14:textId="77777777">
        <w:trPr>
          <w:jc w:val="center"/>
        </w:trPr>
        <w:tc>
          <w:tcPr>
            <w:tcW w:w="15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BD57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 vs 1%</w:t>
            </w:r>
          </w:p>
        </w:tc>
        <w:tc>
          <w:tcPr>
            <w:tcW w:w="24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9F17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65</w:t>
            </w:r>
          </w:p>
        </w:tc>
        <w:tc>
          <w:tcPr>
            <w:tcW w:w="32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0CF46"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0.997</w:t>
            </w:r>
          </w:p>
        </w:tc>
        <w:tc>
          <w:tcPr>
            <w:tcW w:w="31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C8BF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0.002</w:t>
            </w:r>
          </w:p>
        </w:tc>
        <w:tc>
          <w:tcPr>
            <w:tcW w:w="39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367C5"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0.016</w:t>
            </w:r>
          </w:p>
        </w:tc>
        <w:tc>
          <w:tcPr>
            <w:tcW w:w="288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0918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0.026</w:t>
            </w:r>
          </w:p>
        </w:tc>
        <w:tc>
          <w:tcPr>
            <w:tcW w:w="34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C0B9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0.001</w:t>
            </w:r>
          </w:p>
        </w:tc>
        <w:tc>
          <w:tcPr>
            <w:tcW w:w="21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64D8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w:t>
            </w:r>
          </w:p>
        </w:tc>
        <w:tc>
          <w:tcPr>
            <w:tcW w:w="147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8A5B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16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ADC8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 to 54</w:t>
            </w:r>
          </w:p>
        </w:tc>
      </w:tr>
      <w:tr w:rsidR="00565854" w14:paraId="2AE191E0" w14:textId="77777777">
        <w:trPr>
          <w:jc w:val="center"/>
        </w:trPr>
        <w:tc>
          <w:tcPr>
            <w:tcW w:w="15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3D973E"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 vs 1%</w:t>
            </w:r>
          </w:p>
        </w:tc>
        <w:tc>
          <w:tcPr>
            <w:tcW w:w="24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E00F3F"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65</w:t>
            </w:r>
          </w:p>
        </w:tc>
        <w:tc>
          <w:tcPr>
            <w:tcW w:w="32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5C90B"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0.981</w:t>
            </w:r>
          </w:p>
        </w:tc>
        <w:tc>
          <w:tcPr>
            <w:tcW w:w="31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EE66B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0.004</w:t>
            </w:r>
          </w:p>
        </w:tc>
        <w:tc>
          <w:tcPr>
            <w:tcW w:w="39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E74B68"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0.050</w:t>
            </w:r>
          </w:p>
        </w:tc>
        <w:tc>
          <w:tcPr>
            <w:tcW w:w="288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448ED9"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0.064</w:t>
            </w:r>
          </w:p>
        </w:tc>
        <w:tc>
          <w:tcPr>
            <w:tcW w:w="34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291244"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0.003</w:t>
            </w:r>
          </w:p>
        </w:tc>
        <w:tc>
          <w:tcPr>
            <w:tcW w:w="21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AEA913"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w:t>
            </w:r>
          </w:p>
        </w:tc>
        <w:tc>
          <w:tcPr>
            <w:tcW w:w="147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9906BC"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16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A4230D" w14:textId="77777777" w:rsidR="0056585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-126 to 0</w:t>
            </w:r>
          </w:p>
        </w:tc>
      </w:tr>
    </w:tbl>
    <w:p w14:paraId="2AA60449" w14:textId="77777777" w:rsidR="00565854" w:rsidRDefault="00000000">
      <w:r>
        <w:br w:type="page"/>
      </w:r>
    </w:p>
    <w:p w14:paraId="3DFF2A0E" w14:textId="77777777" w:rsidR="00565854" w:rsidRDefault="00000000">
      <w:pPr>
        <w:pStyle w:val="Heading1"/>
      </w:pPr>
      <w:bookmarkStart w:id="42" w:name="supplementary-figures"/>
      <w:bookmarkStart w:id="43" w:name="_Toc241068433"/>
      <w:bookmarkEnd w:id="40"/>
      <w:r>
        <w:lastRenderedPageBreak/>
        <w:t>Supplementary Figures</w:t>
      </w:r>
      <w:bookmarkEnd w:id="43"/>
    </w:p>
    <w:p w14:paraId="00FD2425" w14:textId="77777777" w:rsidR="00565854" w:rsidRDefault="00000000">
      <w:pPr>
        <w:pStyle w:val="FirstParagraph"/>
      </w:pPr>
      <w:r>
        <w:t>Figure S1. Boundary-estimate diagnostic. Purple lines indicate point-estimate-derived quantities and green densities indicate uncertainty-aware summaries from sampling distributions. When stage-specific survival estimates are near 0 or 1, derived-parameter sampling distributions can be displaced relative to point estimates, indicating potential inferential fragility.</w:t>
      </w:r>
    </w:p>
    <w:p w14:paraId="0A6056BE" w14:textId="77777777" w:rsidR="00565854" w:rsidRDefault="00000000">
      <w:pPr>
        <w:pStyle w:val="BodyText"/>
      </w:pPr>
      <w:r>
        <w:rPr>
          <w:noProof/>
        </w:rPr>
        <w:drawing>
          <wp:inline distT="0" distB="0" distL="0" distR="0" wp14:anchorId="2B9BEA5C" wp14:editId="177A9A53">
            <wp:extent cx="5727700" cy="3665728"/>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sampling_uncertainty_mpm_supplement_files/d8529a6b665ec0f3e10c96d308c29bc378c62062.png"/>
                    <pic:cNvPicPr>
                      <a:picLocks noChangeAspect="1" noChangeArrowheads="1"/>
                    </pic:cNvPicPr>
                  </pic:nvPicPr>
                  <pic:blipFill>
                    <a:blip r:embed="rId7"/>
                    <a:stretch>
                      <a:fillRect/>
                    </a:stretch>
                  </pic:blipFill>
                  <pic:spPr bwMode="auto">
                    <a:xfrm>
                      <a:off x="0" y="0"/>
                      <a:ext cx="5727700" cy="3665728"/>
                    </a:xfrm>
                    <a:prstGeom prst="rect">
                      <a:avLst/>
                    </a:prstGeom>
                    <a:noFill/>
                    <a:ln w="9525">
                      <a:noFill/>
                      <a:headEnd/>
                      <a:tailEnd/>
                    </a:ln>
                  </pic:spPr>
                </pic:pic>
              </a:graphicData>
            </a:graphic>
          </wp:inline>
        </w:drawing>
      </w:r>
    </w:p>
    <w:p w14:paraId="2CEC6C73" w14:textId="77777777" w:rsidR="00565854" w:rsidRDefault="00000000">
      <w:r>
        <w:br w:type="page"/>
      </w:r>
    </w:p>
    <w:p w14:paraId="05094A51" w14:textId="77777777" w:rsidR="00565854" w:rsidRDefault="00000000">
      <w:pPr>
        <w:pStyle w:val="BodyText"/>
      </w:pPr>
      <w:r>
        <w:lastRenderedPageBreak/>
        <w:t>Figure S2. Illustration of survivorship trajectories under boundary survival transitions. Age/time is shown in years. These cases can induce artefactual trajectory shapes and help explain mismatches between point estimates and uncertainty-aware summaries.</w:t>
      </w:r>
    </w:p>
    <w:p w14:paraId="5074A8AE" w14:textId="77777777" w:rsidR="00565854" w:rsidRDefault="00000000">
      <w:pPr>
        <w:pStyle w:val="BodyText"/>
      </w:pPr>
      <w:r>
        <w:rPr>
          <w:noProof/>
        </w:rPr>
        <w:drawing>
          <wp:inline distT="0" distB="0" distL="0" distR="0" wp14:anchorId="557F1FE4" wp14:editId="08F76172">
            <wp:extent cx="5727700" cy="5498592"/>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sampling_uncertainty_mpm_supplement_files/14ef09e30f575359848c2835f63766b001ca77ef.png"/>
                    <pic:cNvPicPr>
                      <a:picLocks noChangeAspect="1" noChangeArrowheads="1"/>
                    </pic:cNvPicPr>
                  </pic:nvPicPr>
                  <pic:blipFill>
                    <a:blip r:embed="rId8"/>
                    <a:stretch>
                      <a:fillRect/>
                    </a:stretch>
                  </pic:blipFill>
                  <pic:spPr bwMode="auto">
                    <a:xfrm>
                      <a:off x="0" y="0"/>
                      <a:ext cx="5727700" cy="5498592"/>
                    </a:xfrm>
                    <a:prstGeom prst="rect">
                      <a:avLst/>
                    </a:prstGeom>
                    <a:noFill/>
                    <a:ln w="9525">
                      <a:noFill/>
                      <a:headEnd/>
                      <a:tailEnd/>
                    </a:ln>
                  </pic:spPr>
                </pic:pic>
              </a:graphicData>
            </a:graphic>
          </wp:inline>
        </w:drawing>
      </w:r>
    </w:p>
    <w:p w14:paraId="2677F397" w14:textId="77777777" w:rsidR="00565854" w:rsidRDefault="00000000">
      <w:r>
        <w:br w:type="page"/>
      </w:r>
    </w:p>
    <w:p w14:paraId="62C8B7F4" w14:textId="77777777" w:rsidR="00565854" w:rsidRDefault="00000000">
      <w:pPr>
        <w:pStyle w:val="BodyText"/>
      </w:pPr>
      <w:r>
        <w:lastRenderedPageBreak/>
        <w:t>Figure S3. Displacement magnitude in Analysis 1 increases with boundary-survival structure. Each point is a population-level matrix. Panels compare the absolute difference between the point estimate and the sampling-distribution median against the number of boundary survival stages and the proportion of sampled individuals in those boundary stages, showing that matrices with more boundary-survival structure tend to have larger point-estimate displacement.</w:t>
      </w:r>
    </w:p>
    <w:p w14:paraId="4945EC26" w14:textId="77777777" w:rsidR="00565854" w:rsidRDefault="00000000">
      <w:pPr>
        <w:pStyle w:val="BodyText"/>
      </w:pPr>
      <w:r>
        <w:rPr>
          <w:noProof/>
        </w:rPr>
        <w:drawing>
          <wp:inline distT="0" distB="0" distL="0" distR="0" wp14:anchorId="1562104F" wp14:editId="6E185B85">
            <wp:extent cx="5727700" cy="4455476"/>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sampling_uncertainty_mpm_supplement_files/7a07c06ddb7e22240bd267f312370e06b58b05ad.png"/>
                    <pic:cNvPicPr>
                      <a:picLocks noChangeAspect="1" noChangeArrowheads="1"/>
                    </pic:cNvPicPr>
                  </pic:nvPicPr>
                  <pic:blipFill>
                    <a:blip r:embed="rId9"/>
                    <a:stretch>
                      <a:fillRect/>
                    </a:stretch>
                  </pic:blipFill>
                  <pic:spPr bwMode="auto">
                    <a:xfrm>
                      <a:off x="0" y="0"/>
                      <a:ext cx="5727700" cy="4455476"/>
                    </a:xfrm>
                    <a:prstGeom prst="rect">
                      <a:avLst/>
                    </a:prstGeom>
                    <a:noFill/>
                    <a:ln w="9525">
                      <a:noFill/>
                      <a:headEnd/>
                      <a:tailEnd/>
                    </a:ln>
                  </pic:spPr>
                </pic:pic>
              </a:graphicData>
            </a:graphic>
          </wp:inline>
        </w:drawing>
      </w:r>
    </w:p>
    <w:p w14:paraId="1A8145D9" w14:textId="77777777" w:rsidR="00565854" w:rsidRDefault="00000000">
      <w:r>
        <w:br w:type="page"/>
      </w:r>
    </w:p>
    <w:p w14:paraId="6C6159B7" w14:textId="77777777" w:rsidR="00565854" w:rsidRDefault="00000000">
      <w:pPr>
        <w:pStyle w:val="BodyText"/>
      </w:pPr>
      <w:r>
        <w:lastRenderedPageBreak/>
        <w:t>Figure S4. Sensitivity of Analysis 1 point estimates of mortality-trajectory shape to the quasi-stable-distribution truncation threshold. Point estimates calculated with 0.5% and 5% thresholds are plotted against the 1% threshold used in the main analysis, showing that most values lie close to the 1:1 line and that threshold choice makes little difference except for a small number of near-zero cases.</w:t>
      </w:r>
    </w:p>
    <w:p w14:paraId="6DBBB10C" w14:textId="77777777" w:rsidR="00565854" w:rsidRDefault="00000000">
      <w:pPr>
        <w:pStyle w:val="BodyText"/>
      </w:pPr>
      <w:r>
        <w:rPr>
          <w:noProof/>
        </w:rPr>
        <w:drawing>
          <wp:inline distT="0" distB="0" distL="0" distR="0" wp14:anchorId="377BFFB1" wp14:editId="2B0D053D">
            <wp:extent cx="5727700" cy="2862502"/>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sampling_uncertainty_mpm_supplement_files/f81ebd71ddc3db9e22297ad2a98c3b5420b48bc0.png"/>
                    <pic:cNvPicPr>
                      <a:picLocks noChangeAspect="1" noChangeArrowheads="1"/>
                    </pic:cNvPicPr>
                  </pic:nvPicPr>
                  <pic:blipFill>
                    <a:blip r:embed="rId10"/>
                    <a:stretch>
                      <a:fillRect/>
                    </a:stretch>
                  </pic:blipFill>
                  <pic:spPr bwMode="auto">
                    <a:xfrm>
                      <a:off x="0" y="0"/>
                      <a:ext cx="5727700" cy="2862502"/>
                    </a:xfrm>
                    <a:prstGeom prst="rect">
                      <a:avLst/>
                    </a:prstGeom>
                    <a:noFill/>
                    <a:ln w="9525">
                      <a:noFill/>
                      <a:headEnd/>
                      <a:tailEnd/>
                    </a:ln>
                  </pic:spPr>
                </pic:pic>
              </a:graphicData>
            </a:graphic>
          </wp:inline>
        </w:drawing>
      </w:r>
    </w:p>
    <w:p w14:paraId="54840508" w14:textId="77777777" w:rsidR="00565854" w:rsidRDefault="00000000">
      <w:r>
        <w:br w:type="page"/>
      </w:r>
    </w:p>
    <w:p w14:paraId="67C1DE7E" w14:textId="77777777" w:rsidR="00565854" w:rsidRDefault="00000000">
      <w:pPr>
        <w:pStyle w:val="BodyText"/>
      </w:pPr>
      <w:r>
        <w:lastRenderedPageBreak/>
        <w:t xml:space="preserve">Figure S5. Multisite robustness analysis for </w:t>
      </w:r>
      <w:r>
        <w:rPr>
          <w:i/>
          <w:iCs/>
        </w:rPr>
        <w:t>Astragalus scaphoides</w:t>
      </w:r>
      <w:r>
        <w:t>. Columns show Haynes Creek (A, D, G), McDevitt Creek (B, E, H), and Sheep Corral Gulch (C, F, I). Rows show monthly-lag temperature coefficients (A-C), recruitment-temperature fits (D-F), and stage-specific survival-temperature coefficients (G-I) for point-estimate (purple) and uncertainty-aware (green) formulations. Recruitment is seedlings per reproductive plant, and stage-specific survival coefficients are on the logit scale (β). Survival intervals are 95% Wald confidence intervals; non-estimable stages are labelled rather than plotted. Differences between survival models reflect weighting and dispersion assumptions as well as the use of sample sizes. Recruitment results are closely aligned between formulations within sites.</w:t>
      </w:r>
    </w:p>
    <w:p w14:paraId="138178C5" w14:textId="77777777" w:rsidR="00565854" w:rsidRDefault="00000000">
      <w:pPr>
        <w:pStyle w:val="BodyText"/>
      </w:pPr>
      <w:r>
        <w:rPr>
          <w:noProof/>
        </w:rPr>
        <w:drawing>
          <wp:inline distT="0" distB="0" distL="0" distR="0" wp14:anchorId="2D8ECA21" wp14:editId="59ED2D14">
            <wp:extent cx="5727700" cy="4773682"/>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sampling_uncertainty_mpm_supplement_files/d9af7218402b24a996fed78bfa4485f23bf6a5a4.png"/>
                    <pic:cNvPicPr>
                      <a:picLocks noChangeAspect="1" noChangeArrowheads="1"/>
                    </pic:cNvPicPr>
                  </pic:nvPicPr>
                  <pic:blipFill>
                    <a:blip r:embed="rId11"/>
                    <a:stretch>
                      <a:fillRect/>
                    </a:stretch>
                  </pic:blipFill>
                  <pic:spPr bwMode="auto">
                    <a:xfrm>
                      <a:off x="0" y="0"/>
                      <a:ext cx="5727700" cy="4773682"/>
                    </a:xfrm>
                    <a:prstGeom prst="rect">
                      <a:avLst/>
                    </a:prstGeom>
                    <a:noFill/>
                    <a:ln w="9525">
                      <a:noFill/>
                      <a:headEnd/>
                      <a:tailEnd/>
                    </a:ln>
                  </pic:spPr>
                </pic:pic>
              </a:graphicData>
            </a:graphic>
          </wp:inline>
        </w:drawing>
      </w:r>
    </w:p>
    <w:p w14:paraId="6902CDBE" w14:textId="77777777" w:rsidR="00565854" w:rsidRDefault="00000000">
      <w:r>
        <w:br w:type="page"/>
      </w:r>
      <w:bookmarkEnd w:id="42"/>
    </w:p>
    <w:sectPr w:rsidR="00565854" w:rsidSect="001B4436">
      <w:footerReference w:type="even" r:id="rId12"/>
      <w:footerReference w:type="default" r:id="rId13"/>
      <w:footnotePr>
        <w:numRestart w:val="eachSect"/>
      </w:footnotePr>
      <w:pgSz w:w="11900"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081506" w14:textId="77777777" w:rsidR="002A6EBA" w:rsidRDefault="002A6EBA">
      <w:pPr>
        <w:spacing w:after="0" w:line="240" w:lineRule="auto"/>
      </w:pPr>
      <w:r>
        <w:separator/>
      </w:r>
    </w:p>
  </w:endnote>
  <w:endnote w:type="continuationSeparator" w:id="0">
    <w:p w14:paraId="2BFB9EC9" w14:textId="77777777" w:rsidR="002A6EBA" w:rsidRDefault="002A6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6937502"/>
      <w:docPartObj>
        <w:docPartGallery w:val="Page Numbers (Bottom of Page)"/>
        <w:docPartUnique/>
      </w:docPartObj>
    </w:sdtPr>
    <w:sdtContent>
      <w:p w14:paraId="665985A6" w14:textId="77777777"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C06C6">
          <w:rPr>
            <w:rStyle w:val="PageNumber"/>
            <w:noProof/>
          </w:rPr>
          <w:t>30</w:t>
        </w:r>
        <w:r>
          <w:rPr>
            <w:rStyle w:val="PageNumber"/>
          </w:rPr>
          <w:fldChar w:fldCharType="end"/>
        </w:r>
      </w:p>
    </w:sdtContent>
  </w:sdt>
  <w:p w14:paraId="1369279F"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90175131"/>
      <w:docPartObj>
        <w:docPartGallery w:val="Page Numbers (Bottom of Page)"/>
        <w:docPartUnique/>
      </w:docPartObj>
    </w:sdtPr>
    <w:sdtContent>
      <w:p w14:paraId="5AA8CC60" w14:textId="77777777"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8B56860" w14:textId="77777777" w:rsidR="001B4436" w:rsidRDefault="001B4436" w:rsidP="001B44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C01ABF" w14:textId="77777777" w:rsidR="002A6EBA" w:rsidRDefault="002A6EBA">
      <w:pPr>
        <w:spacing w:after="0" w:line="240" w:lineRule="auto"/>
      </w:pPr>
      <w:r>
        <w:separator/>
      </w:r>
    </w:p>
  </w:footnote>
  <w:footnote w:type="continuationSeparator" w:id="0">
    <w:p w14:paraId="3001685B" w14:textId="77777777" w:rsidR="002A6EBA" w:rsidRDefault="002A6E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4AC19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68834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10478427">
    <w:abstractNumId w:val="0"/>
  </w:num>
  <w:num w:numId="2" w16cid:durableId="996226525">
    <w:abstractNumId w:val="0"/>
  </w:num>
  <w:num w:numId="3" w16cid:durableId="2026975023">
    <w:abstractNumId w:val="1"/>
  </w:num>
  <w:num w:numId="4" w16cid:durableId="221985980">
    <w:abstractNumId w:val="1"/>
  </w:num>
  <w:num w:numId="5" w16cid:durableId="1814179487">
    <w:abstractNumId w:val="1"/>
  </w:num>
  <w:num w:numId="6" w16cid:durableId="142353082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B4436"/>
    <w:rsid w:val="00293780"/>
    <w:rsid w:val="002A6EBA"/>
    <w:rsid w:val="00445ECF"/>
    <w:rsid w:val="00453F52"/>
    <w:rsid w:val="00565854"/>
    <w:rsid w:val="00832E65"/>
    <w:rsid w:val="00862BD4"/>
    <w:rsid w:val="008D3315"/>
    <w:rsid w:val="00BC4829"/>
    <w:rsid w:val="00CC06C6"/>
    <w:rsid w:val="00D521CD"/>
    <w:rsid w:val="00F73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123ED6"/>
  <w15:docId w15:val="{21603A18-7143-7F49-8240-BE5FF58A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3780"/>
    <w:pPr>
      <w:spacing w:line="480" w:lineRule="auto"/>
    </w:pPr>
    <w:rPr>
      <w:rFonts w:ascii="Garamond" w:eastAsiaTheme="minorEastAsia" w:hAnsi="Garamond"/>
    </w:rPr>
  </w:style>
  <w:style w:type="paragraph" w:styleId="Heading1">
    <w:name w:val="heading 1"/>
    <w:basedOn w:val="Normal"/>
    <w:next w:val="BodyText"/>
    <w:link w:val="Heading1Char"/>
    <w:uiPriority w:val="9"/>
    <w:qFormat/>
    <w:rsid w:val="00293780"/>
    <w:pPr>
      <w:keepNext/>
      <w:keepLines/>
      <w:spacing w:before="360" w:after="80"/>
      <w:outlineLvl w:val="0"/>
    </w:pPr>
    <w:rPr>
      <w:rFonts w:eastAsiaTheme="majorEastAsia" w:cstheme="majorBidi"/>
      <w:b/>
      <w:bCs/>
      <w:color w:val="0F4761" w:themeColor="accent1" w:themeShade="BF"/>
      <w:sz w:val="28"/>
      <w:szCs w:val="28"/>
    </w:rPr>
  </w:style>
  <w:style w:type="paragraph" w:styleId="Heading2">
    <w:name w:val="heading 2"/>
    <w:basedOn w:val="Normal"/>
    <w:next w:val="BodyText"/>
    <w:link w:val="Heading2Char"/>
    <w:uiPriority w:val="9"/>
    <w:unhideWhenUsed/>
    <w:qFormat/>
    <w:rsid w:val="00293780"/>
    <w:pPr>
      <w:keepNext/>
      <w:keepLines/>
      <w:spacing w:before="160" w:after="80"/>
      <w:outlineLvl w:val="1"/>
    </w:pPr>
    <w:rPr>
      <w:rFonts w:eastAsiaTheme="majorEastAsia" w:cstheme="majorBidi"/>
      <w:i/>
      <w:iCs/>
      <w:color w:val="0F4761" w:themeColor="accent1" w:themeShade="BF"/>
    </w:rPr>
  </w:style>
  <w:style w:type="paragraph" w:styleId="Heading3">
    <w:name w:val="heading 3"/>
    <w:basedOn w:val="Normal"/>
    <w:next w:val="BodyText"/>
    <w:link w:val="Heading3Char"/>
    <w:uiPriority w:val="9"/>
    <w:unhideWhenUsed/>
    <w:qFormat/>
    <w:rsid w:val="00293780"/>
    <w:pPr>
      <w:keepNext/>
      <w:keepLines/>
      <w:spacing w:before="160" w:after="80"/>
      <w:outlineLvl w:val="2"/>
    </w:pPr>
    <w:rPr>
      <w:rFonts w:eastAsiaTheme="majorEastAsia" w:cstheme="majorBidi"/>
      <w:i/>
      <w:iCs/>
      <w:color w:val="0F4761" w:themeColor="accent1" w:themeShade="BF"/>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93780"/>
    <w:pPr>
      <w:spacing w:before="180" w:after="180"/>
    </w:pPr>
  </w:style>
  <w:style w:type="paragraph" w:customStyle="1" w:styleId="FirstParagraph">
    <w:name w:val="First Paragraph"/>
    <w:basedOn w:val="BodyText"/>
    <w:next w:val="BodyText"/>
    <w:qFormat/>
    <w:rsid w:val="00293780"/>
  </w:style>
  <w:style w:type="paragraph" w:customStyle="1" w:styleId="Compact">
    <w:name w:val="Compact"/>
    <w:basedOn w:val="BodyText"/>
    <w:qFormat/>
    <w:rsid w:val="00293780"/>
    <w:pPr>
      <w:spacing w:before="36" w:after="36"/>
    </w:pPr>
  </w:style>
  <w:style w:type="paragraph" w:styleId="Title">
    <w:name w:val="Title"/>
    <w:basedOn w:val="Normal"/>
    <w:next w:val="BodyText"/>
    <w:link w:val="TitleChar"/>
    <w:uiPriority w:val="10"/>
    <w:qFormat/>
    <w:rsid w:val="00293780"/>
    <w:pPr>
      <w:spacing w:after="80" w:line="240" w:lineRule="auto"/>
      <w:contextualSpacing/>
      <w:jc w:val="center"/>
    </w:pPr>
    <w:rPr>
      <w:rFonts w:eastAsiaTheme="majorEastAsia" w:cstheme="majorBidi"/>
      <w:b/>
      <w:bCs/>
      <w:sz w:val="56"/>
      <w:szCs w:val="56"/>
    </w:rPr>
  </w:style>
  <w:style w:type="character" w:customStyle="1" w:styleId="TitleChar">
    <w:name w:val="Title Char"/>
    <w:basedOn w:val="DefaultParagraphFont"/>
    <w:link w:val="Title"/>
    <w:uiPriority w:val="10"/>
    <w:rsid w:val="00293780"/>
    <w:rPr>
      <w:rFonts w:ascii="Garamond" w:eastAsiaTheme="majorEastAsia" w:hAnsi="Garamond" w:cstheme="majorBidi"/>
      <w:b/>
      <w:bCs/>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sid w:val="00033842"/>
    <w:pPr>
      <w:keepNext/>
      <w:keepLines/>
      <w:spacing w:before="600"/>
    </w:pPr>
    <w:rPr>
      <w:b w:val="0"/>
      <w:bCs w:val="0"/>
      <w:sz w:val="32"/>
      <w:szCs w:val="32"/>
    </w:rPr>
  </w:style>
  <w:style w:type="paragraph" w:styleId="Date">
    <w:name w:val="Date"/>
    <w:basedOn w:val="Title"/>
    <w:next w:val="BodyText"/>
    <w:qFormat/>
    <w:rsid w:val="00033842"/>
    <w:pPr>
      <w:keepNext/>
      <w:keepLines/>
      <w:spacing w:before="400"/>
    </w:pPr>
    <w:rPr>
      <w:b w:val="0"/>
      <w:bCs w:val="0"/>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033842"/>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293780"/>
    <w:rPr>
      <w:rFonts w:ascii="Garamond" w:eastAsiaTheme="majorEastAsia" w:hAnsi="Garamond" w:cstheme="majorBidi"/>
      <w:b/>
      <w:bCs/>
      <w:color w:val="0F4761" w:themeColor="accent1" w:themeShade="BF"/>
      <w:sz w:val="28"/>
      <w:szCs w:val="28"/>
    </w:rPr>
  </w:style>
  <w:style w:type="character" w:customStyle="1" w:styleId="Heading2Char">
    <w:name w:val="Heading 2 Char"/>
    <w:basedOn w:val="DefaultParagraphFont"/>
    <w:link w:val="Heading2"/>
    <w:uiPriority w:val="9"/>
    <w:rsid w:val="00293780"/>
    <w:rPr>
      <w:rFonts w:ascii="Garamond" w:eastAsiaTheme="majorEastAsia" w:hAnsi="Garamond" w:cstheme="majorBidi"/>
      <w:i/>
      <w:iCs/>
      <w:color w:val="0F4761" w:themeColor="accent1" w:themeShade="BF"/>
    </w:rPr>
  </w:style>
  <w:style w:type="character" w:customStyle="1" w:styleId="Heading3Char">
    <w:name w:val="Heading 3 Char"/>
    <w:basedOn w:val="DefaultParagraphFont"/>
    <w:link w:val="Heading3"/>
    <w:uiPriority w:val="9"/>
    <w:rsid w:val="00293780"/>
    <w:rPr>
      <w:rFonts w:ascii="Garamond" w:eastAsiaTheme="majorEastAsia" w:hAnsi="Garamond" w:cstheme="majorBidi"/>
      <w:i/>
      <w:iCs/>
      <w:color w:val="0F4761" w:themeColor="accent1" w:themeShade="BF"/>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B4436"/>
    <w:pPr>
      <w:tabs>
        <w:tab w:val="center" w:pos="4680"/>
        <w:tab w:val="right" w:pos="9360"/>
      </w:tabs>
      <w:spacing w:after="0" w:line="240" w:lineRule="auto"/>
    </w:pPr>
  </w:style>
  <w:style w:type="character" w:customStyle="1" w:styleId="FooterChar">
    <w:name w:val="Footer Char"/>
    <w:basedOn w:val="DefaultParagraphFont"/>
    <w:link w:val="Footer"/>
    <w:rsid w:val="001B4436"/>
    <w:rPr>
      <w:rFonts w:ascii="Garamond" w:eastAsiaTheme="minorEastAsia" w:hAnsi="Garamond"/>
    </w:rPr>
  </w:style>
  <w:style w:type="character" w:styleId="PageNumber">
    <w:name w:val="page number"/>
    <w:basedOn w:val="DefaultParagraphFont"/>
    <w:rsid w:val="001B4436"/>
  </w:style>
  <w:style w:type="character" w:styleId="LineNumber">
    <w:name w:val="line number"/>
    <w:basedOn w:val="DefaultParagraphFont"/>
    <w:rsid w:val="001B4436"/>
  </w:style>
  <w:style w:type="paragraph" w:styleId="TOC1">
    <w:name w:val="toc 1"/>
    <w:basedOn w:val="Normal"/>
    <w:next w:val="Normal"/>
    <w:autoRedefine/>
    <w:uiPriority w:val="39"/>
    <w:rsid w:val="00CC06C6"/>
    <w:pPr>
      <w:spacing w:after="100"/>
    </w:pPr>
  </w:style>
  <w:style w:type="paragraph" w:styleId="TOC2">
    <w:name w:val="toc 2"/>
    <w:basedOn w:val="Normal"/>
    <w:next w:val="Normal"/>
    <w:autoRedefine/>
    <w:uiPriority w:val="39"/>
    <w:rsid w:val="00CC06C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5521</Words>
  <Characters>34292</Characters>
  <Application>Microsoft Office Word</Application>
  <DocSecurity>0</DocSecurity>
  <Lines>511</Lines>
  <Paragraphs>151</Paragraphs>
  <ScaleCrop>false</ScaleCrop>
  <Company/>
  <LinksUpToDate>false</LinksUpToDate>
  <CharactersWithSpaces>39662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
  <cp:keywords/>
  <cp:lastModifiedBy>Owen R. Jones</cp:lastModifiedBy>
  <cp:revision>2</cp:revision>
  <dcterms:created xsi:type="dcterms:W3CDTF">2026-09-23T12:56:00Z</dcterms:created>
  <dcterms:modified xsi:type="dcterms:W3CDTF">2026-09-23T13:07:00Z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subtitle">
    <vt:lpwstr>When does sampling uncertainty matter in matrix population models? Evidence from published projection matrices</vt:lpwstr>
  </property>
</Properties>
</file>