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a comparative analysis, a within-species time-series analysis, and a multi-site extension of the climate-demography analysis, each fit with and without explicit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recruitment was largely unaffected.</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structure our three analyses to bracket this spectrum deliberately. The focal quantities are mature life expectancy, the shape of the mortality trajectory, log population growth rate, and recruitment-climate regression coefficients. Because COMPADRE does not routinely include transition-level sample sizes, our analysis is restricted to the subset for which these data could be assembled (325 MPMs from 33 studies; details in Methods). We illustrate trait-dependent uncertainty effects using a multi-species comparative analysis of life expectancy-shape relationships (analysis 1), a single-species time-series analysis of weather effects on recruitment (analysis 2), and a multi-site extension of the same climate-demography framework (analysis 3), and use these to identify diagnostic features that help researchers assess robustness in their own work.</w:t>
      </w:r>
    </w:p>
    <w:bookmarkEnd w:id="25"/>
    <w:bookmarkStart w:id="35"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the COMPADRE database to identify an initial group of 91 studies from which we sought data. The initial search criteria were: studies published from 2010 onwards; species of common perennial growth forms (herbaceous, shrub, tree, palm, and succulent); wild populations not subjected to experimental treatments; and MPMs with three or more stage classes and a one-year projection interval. Of these, we obtained the data required to model sampling uncertainty for 28: most exclusions reflected insufficient reporting of transition-specific sample sizes, and a small number used estimation methods incompatible with our bootstrapping approach (e.g. mark-recapture or multi-stage vital rate products). We cannot rule out selection bias, but have no strong reason to expect systematic differences between included and excluded studies. The 28 studies yielded 298 MPMs for 73 populations of 27 species. We supplemented this set with 5 additional studies published before 2010 for which we had previously obtained data (targeted based on a criterion of at least 4 years of temporal replication), giving a final set of 33 studies representing 325 MPMs for 82 populations of 32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9"/>
    <w:bookmarkStart w:id="34"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extends analysis 2 to multiple populations of the same species to assess whether inference robustness is consistent across sites. Together, the three analyses bracket a range of typical uses of published MPMs and allow us to ask whether the consequences of sampling uncertainty are consistent across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as defined in COMPADRE. For populations with temporal replication (i.e., MPMs across multiple time periods), we used the pooled population MPM in our analysis, if available; otherwise, we used the population mean MPM. To model sampling uncertainty for pooled or mean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d>
          <m:dPr>
            <m:begChr m:val="("/>
            <m:sepChr m:val=""/>
            <m:endChr m:val=")"/>
            <m:grow/>
          </m:dPr>
          <m:e>
            <m:sSub>
              <m:e>
                <m:r>
                  <m:t>μ</m:t>
                </m:r>
              </m:e>
              <m:sub>
                <m:r>
                  <m:t>α</m:t>
                </m:r>
              </m:sub>
            </m:sSub>
            <m:r>
              <m:rPr>
                <m:sty m:val="p"/>
              </m:rPr>
              <m:t>,</m:t>
            </m:r>
            <m:sSup>
              <m:e>
                <m:r>
                  <m:t>τ</m:t>
                </m:r>
              </m:e>
              <m:sup>
                <m:r>
                  <m:t>2</m:t>
                </m:r>
              </m:sup>
            </m:sSup>
          </m:e>
        </m:d>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d>
            <m:dPr>
              <m:begChr m:val="("/>
              <m:sepChr m:val=""/>
              <m:endChr m:val=")"/>
              <m:grow/>
            </m:dPr>
            <m:e>
              <m:sSub>
                <m:e>
                  <m:r>
                    <m:t>x</m:t>
                  </m:r>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d>
            <m:dPr>
              <m:begChr m:val="("/>
              <m:sepChr m:val=""/>
              <m:endChr m:val=")"/>
              <m:grow/>
            </m:dPr>
            <m:e>
              <m:sSub>
                <m:e>
                  <m:r>
                    <m:t>y</m:t>
                  </m:r>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We fit the models described above using RStan (Stan Development Team 2025; Carpenter et al. 2017), with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The robustness we observe in this analysis therefore reflects properties of aggregate reproductive transitions under moderate sample sizes, and should not be taken as evidence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9</m:t>
              </m:r>
            </m:e>
          </m:d>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d>
          <m:dPr>
            <m:begChr m:val="("/>
            <m:sepChr m:val=""/>
            <m:endChr m:val=")"/>
            <m:grow/>
          </m:dPr>
          <m:e>
            <m:sSub>
              <m:e>
                <m:r>
                  <m:t>N</m:t>
                </m:r>
              </m:e>
              <m:sub>
                <m:r>
                  <m:t>t</m:t>
                </m:r>
                <m:r>
                  <m:rPr>
                    <m:sty m:val="p"/>
                  </m:rPr>
                  <m:t>−</m:t>
                </m:r>
                <m:r>
                  <m:t>1</m:t>
                </m:r>
              </m:sub>
            </m:sSub>
          </m:e>
        </m:d>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d>
          <m:dPr>
            <m:begChr m:val="("/>
            <m:sepChr m:val=""/>
            <m:endChr m:val=")"/>
            <m:grow/>
          </m:dPr>
          <m:e>
            <m:sSub>
              <m:e>
                <m:acc>
                  <m:accPr>
                    <m:chr m:val="̂"/>
                  </m:accPr>
                  <m:e>
                    <m:r>
                      <m:t>r</m:t>
                    </m:r>
                  </m:e>
                </m:acc>
              </m:e>
              <m:sub>
                <m:r>
                  <m:t>t</m:t>
                </m:r>
              </m:sub>
            </m:sSub>
          </m:e>
        </m:d>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13</m:t>
              </m:r>
            </m:e>
          </m:d>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14</m:t>
              </m:r>
            </m:e>
          </m:d>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ty m:val="p"/>
            <m:scr m:val="monospace"/>
          </m:rPr>
          <m:t>surv</m:t>
        </m:r>
        <m:r>
          <m:rPr>
            <m:sty m:val="p"/>
          </m:rPr>
          <m:t>∼</m:t>
        </m:r>
        <m:r>
          <m:rPr>
            <m:nor/>
            <m:sty m:val="p"/>
            <m:scr m:val="monospace"/>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Full implementation details are provided in Supplementary Methods sections S1.6 and S1.9.</w:t>
      </w:r>
    </w:p>
    <w:bookmarkEnd w:id="32"/>
    <w:bookmarkStart w:id="33" w:name="Xdb8f4f06f4c8750476c30b7a7cc67a97e3f87aa"/>
    <w:p>
      <w:pPr>
        <w:pStyle w:val="Heading3"/>
      </w:pPr>
      <w:r>
        <w:t xml:space="preserve">Analysis 3: Multi-site extension of climate-demography models</w:t>
      </w:r>
    </w:p>
    <w:p>
      <w:pPr>
        <w:pStyle w:val="FirstParagraph"/>
      </w:pPr>
      <w:r>
        <w:t xml:space="preserve">To test whether the analysis 2 conclusions generalise across populations, we applied the same paired modelling framework to three</w:t>
      </w:r>
      <w:r>
        <w:t xml:space="preserve"> </w:t>
      </w:r>
      <w:r>
        <w:rPr>
          <w:i/>
          <w:iCs/>
        </w:rPr>
        <w:t xml:space="preserve">Astragalus scaphoides</w:t>
      </w:r>
      <w:r>
        <w:t xml:space="preserve"> </w:t>
      </w:r>
      <w:r>
        <w:t xml:space="preserve">populations (Haynes Creek, McDevitt Creek, and Sheep Corral Gulch) (Crone &amp; Lesica, 2004) . For each site, we fit the same two recruitment-temperature formulations used in analysis 2: a point-estimate model and a sampling-uncertainty model, for both (i) monthly-lag coefficients in the Gaussian-process framework and (ii) a simplified spring-temperature model.</w:t>
      </w:r>
    </w:p>
    <w:p>
      <w:pPr>
        <w:pStyle w:val="BodyText"/>
      </w:pPr>
      <w:r>
        <w:t xml:space="preserve">We also fit the same paired stage-specific survival-temperature comparison used in analysis 2, deriving annual stage-specific survival from</w:t>
      </w:r>
      <w:r>
        <w:t xml:space="preserve"> </w:t>
      </w:r>
      <m:oMath>
        <m:r>
          <m:t>U</m:t>
        </m:r>
      </m:oMath>
      <w:r>
        <w:t xml:space="preserve">-column sums and comparing an SSD-weighted quasibinomial point-estimate model with a binomial count model that propagates sampling uncertainty. This preserves comparable linear predictors across formulations while varying only how uncertainty enters the response model. Full implementation details are given in Supplementary Methods section S1.9.</w:t>
      </w:r>
    </w:p>
    <w:p>
      <w:pPr>
        <w:pStyle w:val="BodyText"/>
      </w:pPr>
      <w:r>
        <w:t xml:space="preserve">All analyses were run in R (4.5.2) using RStan (2.32.7), with data handling and plotting in tidyverse packages.</w:t>
      </w:r>
    </w:p>
    <w:bookmarkEnd w:id="33"/>
    <w:bookmarkEnd w:id="34"/>
    <w:bookmarkEnd w:id="35"/>
    <w:bookmarkStart w:id="39" w:name="results"/>
    <w:p>
      <w:pPr>
        <w:pStyle w:val="Heading1"/>
      </w:pPr>
      <w:r>
        <w:t xml:space="preserve">Results</w:t>
      </w:r>
    </w:p>
    <w:bookmarkStart w:id="36"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2.00 and 3.28,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point-estimate model was centred slightly to the left of zero (P[β &gt; 0] = 0.258), whereas the corresponding posterior from the sampling-uncertainty model was shifted somewhat to the right (P[β &gt; 0] = 0.646), indicating stronger evidence for a positive relationship between life expectancy and shape.</w:t>
      </w:r>
    </w:p>
    <w:p>
      <w:pPr>
        <w:pStyle w:val="BodyText"/>
      </w:pPr>
      <w:r>
        <w:t xml:space="preserve">Counterintuitively, there was less posterior uncertainty in β in the sampling-uncertainty model than in the point-estimate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6"/>
    <w:bookmarkStart w:id="37"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w:t>
      </w:r>
    </w:p>
    <w:bookmarkEnd w:id="37"/>
    <w:bookmarkStart w:id="38" w:name="X175438a06d79e2efaa375e6692933e45b61ebbf"/>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0.986 to 0.995 and a maximum lag-specific median difference of 0.039 (Fig.</w:t>
      </w:r>
      <w:r>
        <w:t xml:space="preserve"> </w:t>
      </w:r>
      <w:r>
        <w:t xml:space="preserve">6</w:t>
      </w:r>
      <w:r>
        <w:t xml:space="preserve">). As in analysis 2, these results indicate limited sensitivity of climate-effect inference to transition-rate sampling uncertainty in this setting.</w:t>
      </w:r>
    </w:p>
    <w:bookmarkEnd w:id="38"/>
    <w:bookmarkEnd w:id="39"/>
    <w:bookmarkStart w:id="46" w:name="discussion"/>
    <w:p>
      <w:pPr>
        <w:pStyle w:val="Heading1"/>
      </w:pPr>
      <w:r>
        <w:t xml:space="preserve">Discussion</w:t>
      </w:r>
    </w:p>
    <w:bookmarkStart w:id="40"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therefore reflects both the type of trait analysed and the type of transition underlying it.</w:t>
      </w:r>
    </w:p>
    <w:p>
      <w:pPr>
        <w:pStyle w:val="BodyText"/>
      </w:pPr>
      <w:r>
        <w:t xml:space="preserve">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40"/>
    <w:bookmarkStart w:id="41"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single underlying cause: life expectancy and shape are inferred via age-from-stage methods, which project a cohort forward through repeated matrix multiplication. Errors in late-stage survival are therefore not simply carried forward but compounded across projection steps, amplifying small transition-rate uncertainties into large uncertainties in long-term survivorship. Integrated metrics like population growth rate are insulated from this because they reflect a weighted average over all transitions simultaneously, where errors tend to partially cancel.</w:t>
      </w:r>
    </w:p>
    <w:p>
      <w:pPr>
        <w:pStyle w:val="BodyText"/>
      </w:pPr>
      <w:r>
        <w:t xml:space="preserve">Several structural features of published matrices exacerbate this. In our analysis 1 set (</w:t>
      </w:r>
      <m:oMath>
        <m:r>
          <m:t>n</m:t>
        </m:r>
        <m:r>
          <m:rPr>
            <m:sty m:val="p"/>
          </m:rPr>
          <m:t>=</m:t>
        </m:r>
        <m:r>
          <m:t>67</m:t>
        </m:r>
      </m:oMath>
      <w:r>
        <w:t xml:space="preserve"> </w:t>
      </w:r>
      <w:r>
        <w:t xml:space="preserve">matrices), 35% (23/67) contain only a single reproductive stage class, 28% (19/67) reach their quasi-stable distribution in less than one life expectancy, and 24% (16/67) contain at least one stage-specific survival estimate of exactly 100%. These are not rare edge cases; they are routine features of published matrices that systematically displace derived trait estimates from the centre of their sampling distributions.</w:t>
      </w:r>
    </w:p>
    <w:bookmarkEnd w:id="41"/>
    <w:bookmarkStart w:id="42"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Analyses warrant caution when: any stage has survival &gt;0.95 or &lt;0.05, or is estimated from fewer than 20 individuals; the matrix has only a single reproductive stage class; or the time to quasi-stable distribution is less than one life expectancy. Conversely, analyses are likely robust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bookmarkEnd w:id="42"/>
    <w:bookmarkStart w:id="43"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3"/>
    <w:bookmarkStart w:id="44"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91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4"/>
    <w:bookmarkStart w:id="45"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5"/>
    <w:bookmarkEnd w:id="46"/>
    <w:bookmarkStart w:id="47"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7"/>
    <w:bookmarkStart w:id="48"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as case studies, conducted the analysis, and wrote the first draft of the manuscript. EGS contributed to conceptualization and interpretation of results, and reviewed and edited the manuscript. Both authors approved the final version for submission.</w:t>
      </w:r>
    </w:p>
    <w:bookmarkEnd w:id="48"/>
    <w:bookmarkStart w:id="49" w:name="conflict-of-interest"/>
    <w:p>
      <w:pPr>
        <w:pStyle w:val="Heading1"/>
      </w:pPr>
      <w:r>
        <w:t xml:space="preserve">Conflict of interest</w:t>
      </w:r>
    </w:p>
    <w:p>
      <w:pPr>
        <w:pStyle w:val="FirstParagraph"/>
      </w:pPr>
      <w:r>
        <w:t xml:space="preserve">The authors declare no conflict of interest.</w:t>
      </w:r>
    </w:p>
    <w:bookmarkEnd w:id="49"/>
    <w:bookmarkStart w:id="50" w:name="data-availability"/>
    <w:p>
      <w:pPr>
        <w:pStyle w:val="Heading1"/>
      </w:pPr>
      <w:r>
        <w:t xml:space="preserve">Data availability</w:t>
      </w:r>
    </w:p>
    <w:p>
      <w:pPr>
        <w:pStyle w:val="FirstParagraph"/>
      </w:pPr>
      <w:r>
        <w:t xml:space="preserve">Data and code required to reproduce our analyses are archived on Zenodo [DOI to be inserted].</w:t>
      </w:r>
    </w:p>
    <w:bookmarkEnd w:id="50"/>
    <w:bookmarkStart w:id="51"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Species identities in analysis 1.</w:t>
      </w:r>
    </w:p>
    <w:p>
      <w:pPr>
        <w:pStyle w:val="Compact"/>
        <w:numPr>
          <w:ilvl w:val="0"/>
          <w:numId w:val="1002"/>
        </w:numPr>
      </w:pPr>
      <w:r>
        <w:rPr>
          <w:b/>
          <w:bCs/>
        </w:rPr>
        <w:t xml:space="preserve">Supplementary Methods S1.9</w:t>
      </w:r>
      <w:r>
        <w:t xml:space="preserve">: Multi-site extension for analysis 3 (</w:t>
      </w:r>
      <w:r>
        <w:rPr>
          <w:i/>
          <w:iCs/>
        </w:rPr>
        <w:t xml:space="preserve">Astragalus scaphoides</w:t>
      </w:r>
      <w:r>
        <w:t xml:space="preserve">).</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Analysis 3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Analysis 3 stage-specific survival-temperature coefficients under no weights and SSD weights.</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r>
        <w:br w:type="page"/>
      </w:r>
    </w:p>
    <w:bookmarkEnd w:id="51"/>
    <w:bookmarkStart w:id="90"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2">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3">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4">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5">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6">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7">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8">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9">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60">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61">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2">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3">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4">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5">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6">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7">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8">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9">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70">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71">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2">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3">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4">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5">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6">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7">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8">
        <w:r>
          <w:rPr>
            <w:rStyle w:val="Hyperlink"/>
          </w:rPr>
          <w:t xml:space="preserve">https://doi.org/10.1890/15-0846R.1</w:t>
        </w:r>
      </w:hyperlink>
    </w:p>
    <w:p>
      <w:pPr>
        <w:pStyle w:val="BodyText"/>
      </w:pPr>
      <w:r>
        <w:t xml:space="preserve">PRISM Group, Oregon State University (2026) PRISM Climate Data.</w:t>
      </w:r>
      <w:r>
        <w:t xml:space="preserve"> </w:t>
      </w:r>
      <w:hyperlink r:id="rId79">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80">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81">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2">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3">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4">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5">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6">
        <w:r>
          <w:rPr>
            <w:rStyle w:val="Hyperlink"/>
          </w:rPr>
          <w:t xml:space="preserve">https://mc-stan.org/</w:t>
        </w:r>
      </w:hyperlink>
      <w:r>
        <w:t xml:space="preserve"> </w:t>
      </w:r>
      <w:hyperlink r:id="rId87">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8">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9">
        <w:r>
          <w:rPr>
            <w:rStyle w:val="Hyperlink"/>
          </w:rPr>
          <w:t xml:space="preserve">https://doi.org/10.1371/journal.pone.0119163</w:t>
        </w:r>
      </w:hyperlink>
    </w:p>
    <w:p>
      <w:r>
        <w:br w:type="page"/>
      </w:r>
    </w:p>
    <w:bookmarkEnd w:id="90"/>
    <w:bookmarkStart w:id="92" w:name="tables"/>
    <w:p>
      <w:pPr>
        <w:pStyle w:val="Heading1"/>
      </w:pPr>
      <w:r>
        <w:t xml:space="preserve">Tables</w:t>
      </w:r>
    </w:p>
    <w:p>
      <w:pPr>
        <w:pStyle w:val="TableCaption"/>
      </w:pPr>
      <w:bookmarkStart w:id="91" w:name="tab:table-case1-var"/>
      <w:bookmarkEnd w:id="91"/>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w:t>
            </w:r>
          </w:p>
        </w:tc>
      </w:tr>
    </w:tbl>
    <w:p>
      <w:r>
        <w:br w:type="page"/>
      </w:r>
    </w:p>
    <w:bookmarkEnd w:id="92"/>
    <w:bookmarkStart w:id="117"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 title="" id="94" name="Picture"/>
            <a:graphic>
              <a:graphicData uri="http://schemas.openxmlformats.org/drawingml/2006/picture">
                <pic:pic>
                  <pic:nvPicPr>
                    <pic:cNvPr descr="../../figures/Figure_1_transition_rates_single_mpm.png" id="95" name="Picture"/>
                    <pic:cNvPicPr>
                      <a:picLocks noChangeArrowheads="1" noChangeAspect="1"/>
                    </pic:cNvPicPr>
                  </pic:nvPicPr>
                  <pic:blipFill>
                    <a:blip r:embed="rId93"/>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6" w:name="fig:fig-main-1a"/>
      <w:bookmarkEnd w:id="96"/>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 title="" id="98" name="Picture"/>
            <a:graphic>
              <a:graphicData uri="http://schemas.openxmlformats.org/drawingml/2006/picture">
                <pic:pic>
                  <pic:nvPicPr>
                    <pic:cNvPr descr="../../figures/Figure_2_derived_parameters_single_mpm.png" id="99" name="Picture"/>
                    <pic:cNvPicPr>
                      <a:picLocks noChangeArrowheads="1" noChangeAspect="1"/>
                    </pic:cNvPicPr>
                  </pic:nvPicPr>
                  <pic:blipFill>
                    <a:blip r:embed="rId97"/>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100" w:name="fig:fig-main-1b"/>
      <w:bookmarkEnd w:id="100"/>
      <w:r>
        <w:t xml:space="preserve">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 title="" id="102" name="Picture"/>
            <a:graphic>
              <a:graphicData uri="http://schemas.openxmlformats.org/drawingml/2006/picture">
                <pic:pic>
                  <pic:nvPicPr>
                    <pic:cNvPr descr="../../figures/Figure_3_analysis1_point_vs_sampling_distributions.png" id="103" name="Picture"/>
                    <pic:cNvPicPr>
                      <a:picLocks noChangeArrowheads="1" noChangeAspect="1"/>
                    </pic:cNvPicPr>
                  </pic:nvPicPr>
                  <pic:blipFill>
                    <a:blip r:embed="rId101"/>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4" w:name="fig:fig-main-2"/>
      <w:bookmarkEnd w:id="104"/>
      <w:r>
        <w:t xml:space="preserve">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lug-in point estimates, consistent with the offsets between dashed lines and density peaks in Figure 3.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 title="" id="106" name="Picture"/>
            <a:graphic>
              <a:graphicData uri="http://schemas.openxmlformats.org/drawingml/2006/picture">
                <pic:pic>
                  <pic:nvPicPr>
                    <pic:cNvPr descr="../../figures/Figure_4_analysis1_life_expectancy_shape_relationship.png" id="107" name="Picture"/>
                    <pic:cNvPicPr>
                      <a:picLocks noChangeArrowheads="1" noChangeAspect="1"/>
                    </pic:cNvPicPr>
                  </pic:nvPicPr>
                  <pic:blipFill>
                    <a:blip r:embed="rId105"/>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8" w:name="fig:fig-main-3"/>
      <w:bookmarkEnd w:id="108"/>
      <w:r>
        <w:t xml:space="preserve">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plug-in point estimates, consistent with the offsets between dashed lines and density peaks in Figure</w:t>
      </w:r>
      <w:r>
        <w:t xml:space="preserve"> </w:t>
      </w:r>
      <w:r>
        <w:t xml:space="preserve">3</w:t>
      </w:r>
      <w:r>
        <w:t xml:space="preserve">.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 title="" id="110" name="Picture"/>
            <a:graphic>
              <a:graphicData uri="http://schemas.openxmlformats.org/drawingml/2006/picture">
                <pic:pic>
                  <pic:nvPicPr>
                    <pic:cNvPr descr="../../figures/Figure_5_analysis2_climate_effects_recruitment.png" id="111" name="Picture"/>
                    <pic:cNvPicPr>
                      <a:picLocks noChangeArrowheads="1" noChangeAspect="1"/>
                    </pic:cNvPicPr>
                  </pic:nvPicPr>
                  <pic:blipFill>
                    <a:blip r:embed="rId109"/>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2" w:name="fig:fig-main-4"/>
      <w:bookmarkEnd w:id="112"/>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727700" cy="4773682"/>
            <wp:effectExtent b="0" l="0" r="0" t="0"/>
            <wp:docPr descr="Figure 6: Analysis 3 multisite climate-demography comparison for Astragalus scaphoides.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 title="" id="114" name="Picture"/>
            <a:graphic>
              <a:graphicData uri="http://schemas.openxmlformats.org/drawingml/2006/picture">
                <pic:pic>
                  <pic:nvPicPr>
                    <pic:cNvPr descr="../../figures/Figure_6_analysis3_climate_effects_multisite.png" id="115" name="Picture"/>
                    <pic:cNvPicPr>
                      <a:picLocks noChangeArrowheads="1" noChangeAspect="1"/>
                    </pic:cNvPicPr>
                  </pic:nvPicPr>
                  <pic:blipFill>
                    <a:blip r:embed="rId113"/>
                    <a:stretch>
                      <a:fillRect/>
                    </a:stretch>
                  </pic:blipFill>
                  <pic:spPr bwMode="auto">
                    <a:xfrm>
                      <a:off x="0" y="0"/>
                      <a:ext cx="5727700" cy="4773682"/>
                    </a:xfrm>
                    <a:prstGeom prst="rect">
                      <a:avLst/>
                    </a:prstGeom>
                    <a:noFill/>
                    <a:ln w="9525">
                      <a:noFill/>
                      <a:headEnd/>
                      <a:tailEnd/>
                    </a:ln>
                  </pic:spPr>
                </pic:pic>
              </a:graphicData>
            </a:graphic>
          </wp:inline>
        </w:drawing>
      </w:r>
    </w:p>
    <w:p>
      <w:pPr>
        <w:pStyle w:val="ImageCaption"/>
      </w:pPr>
      <w:bookmarkStart w:id="116" w:name="fig:fig-main-5"/>
      <w:bookmarkEnd w:id="116"/>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w:t>
      </w:r>
    </w:p>
    <w:bookmarkEnd w:id="117"/>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2026-03-09T18:26:04Z</dcterms:created>
  <dcterms:modified xsi:type="dcterms:W3CDTF">2026-03-09T18:26:04Z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