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p>
    <w:p>
      <w:pPr>
        <w:pStyle w:val="Subtitle"/>
      </w:pPr>
      <w:r>
        <w:t xml:space="preserve">When does sampling uncertainty matter in matrix population models? Evidence from published projection matrices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9" w:name="supplementary-methods"/>
    <w:p>
      <w:pPr>
        <w:pStyle w:val="Heading1"/>
      </w:pPr>
      <w:r>
        <w:t xml:space="preserve">Supplementary Methods</w:t>
      </w:r>
    </w:p>
    <w:bookmarkStart w:id="20"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20"/>
    <w:bookmarkStart w:id="21"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21"/>
    <w:bookmarkStart w:id="22" w:name="s1.3-pooled-and-mean-mpm-handling"/>
    <w:p>
      <w:pPr>
        <w:pStyle w:val="Heading2"/>
      </w:pPr>
      <w:r>
        <w:t xml:space="preserve">S1.3 Pooled and mean MPM handling</w:t>
      </w:r>
    </w:p>
    <w:p>
      <w:pPr>
        <w:pStyle w:val="FirstParagraph"/>
      </w:pPr>
      <w:r>
        <w:t xml:space="preserve">Where population-level pooled MPMs were available, they were used; otherwise, mean MPMs were used.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22"/>
    <w:bookmarkStart w:id="23"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1"/>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1"/>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2"/>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2"/>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23"/>
    <w:bookmarkStart w:id="24"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3"/>
        </w:numPr>
      </w:pPr>
      <w:r>
        <w:t xml:space="preserve">sampling component: mean within-MPM sampling variance from bootstrap draws;</w:t>
      </w:r>
    </w:p>
    <w:p>
      <w:pPr>
        <w:pStyle w:val="Compact"/>
        <w:numPr>
          <w:ilvl w:val="0"/>
          <w:numId w:val="1003"/>
        </w:numPr>
      </w:pPr>
      <w:r>
        <w:t xml:space="preserve">residual component: remaining variance among populations/species.</w:t>
      </w:r>
    </w:p>
    <w:p>
      <w:pPr>
        <w:pStyle w:val="FirstParagraph"/>
      </w:pPr>
      <w:r>
        <w:t xml:space="preserve">The reported summary is Eq. (1):</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d>
            <m:dPr>
              <m:begChr m:val="("/>
              <m:sepChr m:val=""/>
              <m:endChr m:val=")"/>
              <m:grow/>
            </m:dPr>
            <m:e>
              <m:r>
                <m:t>1</m:t>
              </m:r>
            </m:e>
          </m:d>
        </m:oMath>
      </m:oMathPara>
    </w:p>
    <w:p>
      <w:pPr>
        <w:pStyle w:val="FirstParagraph"/>
      </w:pPr>
      <w:r>
        <w:t xml:space="preserve">Ratios above 1 indicate that sampling uncertainty exceeds residual biological variation for that parameter.</w:t>
      </w:r>
    </w:p>
    <w:bookmarkEnd w:id="24"/>
    <w:bookmarkStart w:id="25"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25"/>
    <w:bookmarkStart w:id="26"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4"/>
        </w:numPr>
      </w:pPr>
      <w:r>
        <w:t xml:space="preserve">transition-level sample sizes for each matrix element (or reconstructable transition count tables);</w:t>
      </w:r>
    </w:p>
    <w:p>
      <w:pPr>
        <w:pStyle w:val="Compact"/>
        <w:numPr>
          <w:ilvl w:val="0"/>
          <w:numId w:val="1004"/>
        </w:numPr>
      </w:pPr>
      <w:r>
        <w:t xml:space="preserve">clear identification of pooled/mean matrices and pooling rules;</w:t>
      </w:r>
    </w:p>
    <w:p>
      <w:pPr>
        <w:pStyle w:val="Compact"/>
        <w:numPr>
          <w:ilvl w:val="0"/>
          <w:numId w:val="1004"/>
        </w:numPr>
      </w:pPr>
      <w:r>
        <w:t xml:space="preserve">uncertainty estimates on model-appropriate scales (e.g. linear predictor where relevant);</w:t>
      </w:r>
    </w:p>
    <w:p>
      <w:pPr>
        <w:pStyle w:val="Compact"/>
        <w:numPr>
          <w:ilvl w:val="0"/>
          <w:numId w:val="1004"/>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26"/>
    <w:bookmarkStart w:id="27" w:name="X673af67ed43224aff21550b61d48c598bc599d3"/>
    <w:p>
      <w:pPr>
        <w:pStyle w:val="Heading2"/>
      </w:pPr>
      <w:r>
        <w:t xml:space="preserve">S1.8 Study and species identities in analysis 1</w:t>
      </w:r>
    </w:p>
    <w:p>
      <w:pPr>
        <w:pStyle w:val="FirstParagraph"/>
      </w:pPr>
      <w:r>
        <w:t xml:space="preserve">Analysis 1 used 67 population-level entries representing 26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27"/>
    <w:bookmarkStart w:id="28"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stable-stage-distribution (SSD) weighting derived from each annual</w:t>
      </w:r>
      <w:r>
        <w:t xml:space="preserve"> </w:t>
      </w:r>
      <m:oMath>
        <m:r>
          <m:t>U</m:t>
        </m:r>
      </m:oMath>
      <w:r>
        <w:t xml:space="preserve"> </w:t>
      </w:r>
      <w:r>
        <w:t xml:space="preserve">matrix.</w:t>
      </w:r>
    </w:p>
    <w:bookmarkEnd w:id="28"/>
    <w:bookmarkEnd w:id="29"/>
    <w:bookmarkStart w:id="31" w:name="supplementary-results"/>
    <w:p>
      <w:pPr>
        <w:pStyle w:val="Heading1"/>
      </w:pPr>
      <w:r>
        <w:t xml:space="preserve">Supplementary Results</w:t>
      </w:r>
    </w:p>
    <w:bookmarkStart w:id="30"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30"/>
    <w:bookmarkEnd w:id="31"/>
    <w:bookmarkStart w:id="32"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of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0.646</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PhD thesis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Toräng; Ehrlén; Ågren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Oecologia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10.1007/s00442-009-1552-1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Primula_farinosa_4</w:t>
            </w:r>
          </w:p>
        </w:tc>
      </w:tr>
      <w:tr>
        <w:trPr>
          <w:trHeight w:val="62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Evju; Halvorsen; Rydgren; Austrheim; Mysterud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10.1007/s11258-011-9906-2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Geranium_sylvaticum_2</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Burns; Pardini; Schutzenhofer; Chung; Seidler;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10.1890/12-1310.1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Iris_germanica; Lonicera_maackii; Rosa_multiflora; Taraxacum_erythrospermum; Taraxacum_officinale_2</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PhD 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Maines; Knochel; Seastedt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10.1890/ES13-00094.1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Centaurea_stoebe_2</w:t>
            </w:r>
          </w:p>
        </w:tc>
      </w:tr>
      <w:tr>
        <w:trPr>
          <w:trHeight w:val="618"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Morris;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19"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Haridas; Keeler; Tenhumberg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10.1890/13-1984.1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Opuntia_macrorhiza_2</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32"/>
    <w:bookmarkStart w:id="41" w:name="supplementary-figures"/>
    <w:p>
      <w:pPr>
        <w:pStyle w:val="Heading1"/>
      </w:pPr>
      <w:r>
        <w:t xml:space="preserve">Supplementary Figures</w:t>
      </w:r>
    </w:p>
    <w:p>
      <w:pPr>
        <w:pStyle w:val="CaptionedFigure"/>
      </w:pPr>
      <w:r>
        <w:drawing>
          <wp:inline>
            <wp:extent cx="5727700" cy="3665728"/>
            <wp:effectExtent b="0" l="0" r="0" t="0"/>
            <wp:docPr descr="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34" name="Picture"/>
            <a:graphic>
              <a:graphicData uri="http://schemas.openxmlformats.org/drawingml/2006/picture">
                <pic:pic>
                  <pic:nvPicPr>
                    <pic:cNvPr descr="../../figures/Figure_S1_boundary_estimate_diagnostic.png" id="35" name="Picture"/>
                    <pic:cNvPicPr>
                      <a:picLocks noChangeArrowheads="1" noChangeAspect="1"/>
                    </pic:cNvPicPr>
                  </pic:nvPicPr>
                  <pic:blipFill>
                    <a:blip r:embed="rId33"/>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36" w:name="fig:fig-boundary-1"/>
      <w:bookmarkEnd w:id="36"/>
      <w:r>
        <w:t xml:space="preserve">Figure 1: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2: Illustration of survivorship trajectories under boundary survival transitions. Age/time is shown in years. These cases can induce artefactual trajectory shapes and help explain mismatches between point estimates and uncertainty-aware summaries." title="" id="38" name="Picture"/>
            <a:graphic>
              <a:graphicData uri="http://schemas.openxmlformats.org/drawingml/2006/picture">
                <pic:pic>
                  <pic:nvPicPr>
                    <pic:cNvPr descr="../../figures/Figure_S2_boundary_survivorship_illustration.png" id="39" name="Picture"/>
                    <pic:cNvPicPr>
                      <a:picLocks noChangeArrowheads="1" noChangeAspect="1"/>
                    </pic:cNvPicPr>
                  </pic:nvPicPr>
                  <pic:blipFill>
                    <a:blip r:embed="rId37"/>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40" w:name="fig:fig-boundary-2"/>
      <w:bookmarkEnd w:id="40"/>
      <w:r>
        <w:t xml:space="preserve">Figure 2: Illustration of survivorship trajectories under boundary survival transitions. Age/time is shown in years. These cases can induce artefactual trajectory shapes and help explain mismatches between point estimates and uncertainty-aware summaries.</w:t>
      </w:r>
    </w:p>
    <w:p>
      <w:r>
        <w:br w:type="page"/>
      </w:r>
    </w:p>
    <w:bookmarkEnd w:id="41"/>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creator/>
  <cp:keywords/>
  <dcterms:created xsi:type="dcterms:W3CDTF">2026-03-09T18:26:05Z</dcterms:created>
  <dcterms:modified xsi:type="dcterms:W3CDTF">2026-03-09T18:26:05Z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When does sampling uncertainty matter in matrix population models? Evidence from published projection matrices</vt:lpwstr>
  </property>
</Properties>
</file>