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(325 MPMs from 33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these, we obtained the data required to model sampling uncertainty for 28: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28 studies yielded 298 MPMs for 73 populations of 27 species. We supplemented this set with 5 additional studies published before 2010 for which we had previously obtained data (targeted based on a criterion of at least 4 years of temporal replication), giving a final set of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(4.5.2)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0.258), whereas the corresponding posterior from the sampling-uncertainty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0.986 to 0.995 and a maximum lag-specific median difference of 0.039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67</m:t>
        </m:r>
      </m:oMath>
      <w:r>
        <w:t xml:space="preserve"> </w:t>
      </w:r>
      <w:r>
        <w:t xml:space="preserve">matrices), 35% (23/67) contain only a single reproductive stage class, 28% (19/67) reach their quasi-stable distribution in less than one life expectancy, and 24% (16/67)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as case studies,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0" w:name="data-availability"/>
    <w:p>
      <w:pPr>
        <w:pStyle w:val="Heading1"/>
      </w:pPr>
      <w:r>
        <w:t xml:space="preserve">Data availability</w:t>
      </w:r>
    </w:p>
    <w:p>
      <w:pPr>
        <w:pStyle w:val="FirstParagraph"/>
      </w:pPr>
      <w:r>
        <w:t xml:space="preserve">Data and code required to reproduce our analyses are archived on Zenodo [DOI to be inserted].</w:t>
      </w:r>
    </w:p>
    <w:bookmarkEnd w:id="50"/>
    <w:bookmarkStart w:id="51"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1"/>
    <w:bookmarkStart w:id="90"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2">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3">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4">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5">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6">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7">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8">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9">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0">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1">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2">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3">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4">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5">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6">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7">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8">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9">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0">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1">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2">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3">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4">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5">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6">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7">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8">
        <w:r>
          <w:rPr>
            <w:rStyle w:val="Hyperlink"/>
          </w:rPr>
          <w:t xml:space="preserve">https://doi.org/10.1890/15-0846R.1</w:t>
        </w:r>
      </w:hyperlink>
    </w:p>
    <w:p>
      <w:pPr>
        <w:pStyle w:val="BodyText"/>
      </w:pPr>
      <w:r>
        <w:t xml:space="preserve">PRISM Group, Oregon State University (2026) PRISM Climate Data.</w:t>
      </w:r>
      <w:r>
        <w:t xml:space="preserve"> </w:t>
      </w:r>
      <w:hyperlink r:id="rId79">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0">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1">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2">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3">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4">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5">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6">
        <w:r>
          <w:rPr>
            <w:rStyle w:val="Hyperlink"/>
          </w:rPr>
          <w:t xml:space="preserve">https://mc-stan.org/</w:t>
        </w:r>
      </w:hyperlink>
      <w:r>
        <w:t xml:space="preserve"> </w:t>
      </w:r>
      <w:hyperlink r:id="rId87">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8">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9">
        <w:r>
          <w:rPr>
            <w:rStyle w:val="Hyperlink"/>
          </w:rPr>
          <w:t xml:space="preserve">https://doi.org/10.1371/journal.pone.0119163</w:t>
        </w:r>
      </w:hyperlink>
    </w:p>
    <w:p>
      <w:r>
        <w:br w:type="page"/>
      </w:r>
    </w:p>
    <w:bookmarkEnd w:id="90"/>
    <w:bookmarkStart w:id="92" w:name="tables"/>
    <w:p>
      <w:pPr>
        <w:pStyle w:val="Heading1"/>
      </w:pPr>
      <w:r>
        <w:t xml:space="preserve">Tables</w:t>
      </w:r>
    </w:p>
    <w:p>
      <w:pPr>
        <w:pStyle w:val="TableCaption"/>
      </w:pPr>
      <w:bookmarkStart w:id="91" w:name="tab:table-case1-var"/>
      <w:bookmarkEnd w:id="91"/>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92"/>
    <w:bookmarkStart w:id="117"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4" name="Picture"/>
            <a:graphic>
              <a:graphicData uri="http://schemas.openxmlformats.org/drawingml/2006/picture">
                <pic:pic>
                  <pic:nvPicPr>
                    <pic:cNvPr descr="../../figures/Figure_1_transition_rates_single_mpm.png" id="95" name="Picture"/>
                    <pic:cNvPicPr>
                      <a:picLocks noChangeArrowheads="1" noChangeAspect="1"/>
                    </pic:cNvPicPr>
                  </pic:nvPicPr>
                  <pic:blipFill>
                    <a:blip r:embed="rId93"/>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6" w:name="fig:fig-main-1a"/>
      <w:bookmarkEnd w:id="96"/>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8" name="Picture"/>
            <a:graphic>
              <a:graphicData uri="http://schemas.openxmlformats.org/drawingml/2006/picture">
                <pic:pic>
                  <pic:nvPicPr>
                    <pic:cNvPr descr="../../figures/Figure_2_derived_parameters_single_mpm.png" id="99" name="Picture"/>
                    <pic:cNvPicPr>
                      <a:picLocks noChangeArrowheads="1" noChangeAspect="1"/>
                    </pic:cNvPicPr>
                  </pic:nvPicPr>
                  <pic:blipFill>
                    <a:blip r:embed="rId97"/>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0" w:name="fig:fig-main-1b"/>
      <w:bookmarkEnd w:id="100"/>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2" name="Picture"/>
            <a:graphic>
              <a:graphicData uri="http://schemas.openxmlformats.org/drawingml/2006/picture">
                <pic:pic>
                  <pic:nvPicPr>
                    <pic:cNvPr descr="../../figures/Figure_3_analysis1_point_vs_sampling_distributions.png" id="103" name="Picture"/>
                    <pic:cNvPicPr>
                      <a:picLocks noChangeArrowheads="1" noChangeAspect="1"/>
                    </pic:cNvPicPr>
                  </pic:nvPicPr>
                  <pic:blipFill>
                    <a:blip r:embed="rId101"/>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4" w:name="fig:fig-main-2"/>
      <w:bookmarkEnd w:id="104"/>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6" name="Picture"/>
            <a:graphic>
              <a:graphicData uri="http://schemas.openxmlformats.org/drawingml/2006/picture">
                <pic:pic>
                  <pic:nvPicPr>
                    <pic:cNvPr descr="../../figures/Figure_4_analysis1_life_expectancy_shape_relationship.png" id="107" name="Picture"/>
                    <pic:cNvPicPr>
                      <a:picLocks noChangeArrowheads="1" noChangeAspect="1"/>
                    </pic:cNvPicPr>
                  </pic:nvPicPr>
                  <pic:blipFill>
                    <a:blip r:embed="rId105"/>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8" w:name="fig:fig-main-3"/>
      <w:bookmarkEnd w:id="108"/>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0" name="Picture"/>
            <a:graphic>
              <a:graphicData uri="http://schemas.openxmlformats.org/drawingml/2006/picture">
                <pic:pic>
                  <pic:nvPicPr>
                    <pic:cNvPr descr="../../figures/Figure_5_analysis2_climate_effects_recruitment.png" id="111" name="Picture"/>
                    <pic:cNvPicPr>
                      <a:picLocks noChangeArrowheads="1" noChangeAspect="1"/>
                    </pic:cNvPicPr>
                  </pic:nvPicPr>
                  <pic:blipFill>
                    <a:blip r:embed="rId109"/>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2" w:name="fig:fig-main-4"/>
      <w:bookmarkEnd w:id="112"/>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4" name="Picture"/>
            <a:graphic>
              <a:graphicData uri="http://schemas.openxmlformats.org/drawingml/2006/picture">
                <pic:pic>
                  <pic:nvPicPr>
                    <pic:cNvPr descr="../../figures/Figure_6_analysis3_climate_effects_multisite.png" id="115" name="Picture"/>
                    <pic:cNvPicPr>
                      <a:picLocks noChangeArrowheads="1" noChangeAspect="1"/>
                    </pic:cNvPicPr>
                  </pic:nvPicPr>
                  <pic:blipFill>
                    <a:blip r:embed="rId113"/>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6" w:name="fig:fig-main-5"/>
      <w:bookmarkEnd w:id="116"/>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bookmarkEnd w:id="117"/>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2026-03-10T12:51:46Z</dcterms:created>
  <dcterms:modified xsi:type="dcterms:W3CDTF">2026-03-10T12:51:46Z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